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29DF3" w14:textId="312EEDA3" w:rsidR="000F78B3" w:rsidRPr="00C96048" w:rsidRDefault="00AE3004" w:rsidP="000F78B3">
      <w:pPr>
        <w:jc w:val="center"/>
        <w:rPr>
          <w:rFonts w:asciiTheme="majorHAnsi" w:hAnsiTheme="majorHAnsi"/>
          <w:b/>
        </w:rPr>
      </w:pPr>
      <w:r w:rsidRPr="00C96048">
        <w:rPr>
          <w:rFonts w:asciiTheme="majorHAnsi" w:hAnsiTheme="majorHAnsi"/>
          <w:b/>
        </w:rPr>
        <w:t xml:space="preserve">Legislative </w:t>
      </w:r>
      <w:r w:rsidR="00F44EBA" w:rsidRPr="00C96048">
        <w:rPr>
          <w:rFonts w:asciiTheme="majorHAnsi" w:hAnsiTheme="majorHAnsi"/>
          <w:b/>
        </w:rPr>
        <w:t>C</w:t>
      </w:r>
      <w:r w:rsidRPr="00C96048">
        <w:rPr>
          <w:rFonts w:asciiTheme="majorHAnsi" w:hAnsiTheme="majorHAnsi"/>
          <w:b/>
        </w:rPr>
        <w:t xml:space="preserve">ommittee </w:t>
      </w:r>
      <w:r w:rsidR="000F78B3" w:rsidRPr="00C96048">
        <w:rPr>
          <w:rFonts w:asciiTheme="majorHAnsi" w:hAnsiTheme="majorHAnsi"/>
          <w:b/>
        </w:rPr>
        <w:t>Report</w:t>
      </w:r>
    </w:p>
    <w:p w14:paraId="607FC210" w14:textId="729E78D0" w:rsidR="00AE3004" w:rsidRPr="00C96048" w:rsidRDefault="00E176EB" w:rsidP="000F78B3">
      <w:pPr>
        <w:jc w:val="center"/>
        <w:rPr>
          <w:rFonts w:asciiTheme="majorHAnsi" w:hAnsiTheme="majorHAnsi"/>
          <w:b/>
        </w:rPr>
      </w:pPr>
      <w:r w:rsidRPr="00C96048">
        <w:rPr>
          <w:rFonts w:asciiTheme="majorHAnsi" w:hAnsiTheme="majorHAnsi"/>
          <w:b/>
        </w:rPr>
        <w:t>April 16, 2019</w:t>
      </w:r>
    </w:p>
    <w:p w14:paraId="2044D6BA" w14:textId="77777777" w:rsidR="00AE3004" w:rsidRPr="00C96048" w:rsidRDefault="00AE3004">
      <w:pPr>
        <w:rPr>
          <w:rFonts w:asciiTheme="majorHAnsi" w:hAnsiTheme="majorHAnsi"/>
        </w:rPr>
      </w:pPr>
    </w:p>
    <w:p w14:paraId="0BEE722B" w14:textId="0A15B067" w:rsidR="007F73CA" w:rsidRPr="00C96048" w:rsidRDefault="00C16FC2">
      <w:pPr>
        <w:rPr>
          <w:rFonts w:asciiTheme="majorHAnsi" w:hAnsiTheme="majorHAnsi"/>
        </w:rPr>
      </w:pPr>
      <w:r w:rsidRPr="00C96048">
        <w:rPr>
          <w:rFonts w:asciiTheme="majorHAnsi" w:hAnsiTheme="majorHAnsi"/>
        </w:rPr>
        <w:t xml:space="preserve">Attendees: </w:t>
      </w:r>
      <w:r w:rsidR="003D24E5" w:rsidRPr="00C96048">
        <w:rPr>
          <w:rFonts w:asciiTheme="majorHAnsi" w:hAnsiTheme="majorHAnsi"/>
        </w:rPr>
        <w:t>Cheryle Kennedy (Grande Ronde), Greg Abrahamson (Spokane), Kay Culbertson (Cowlitz), Gerald Hill (Klamath)</w:t>
      </w:r>
      <w:r w:rsidR="00E176EB" w:rsidRPr="00C96048">
        <w:rPr>
          <w:rFonts w:asciiTheme="majorHAnsi" w:hAnsiTheme="majorHAnsi"/>
        </w:rPr>
        <w:t>, and Andy Joseph, Jr. (Colville)</w:t>
      </w:r>
    </w:p>
    <w:p w14:paraId="3B17450D" w14:textId="77777777" w:rsidR="003D24E5" w:rsidRPr="00C96048" w:rsidRDefault="003D24E5">
      <w:pPr>
        <w:rPr>
          <w:rFonts w:asciiTheme="majorHAnsi" w:hAnsiTheme="majorHAnsi"/>
        </w:rPr>
      </w:pPr>
    </w:p>
    <w:p w14:paraId="6CDFD620" w14:textId="616D35B6" w:rsidR="00F75DD8" w:rsidRPr="00C96048" w:rsidRDefault="00C16FC2">
      <w:pPr>
        <w:rPr>
          <w:rFonts w:asciiTheme="majorHAnsi" w:hAnsiTheme="majorHAnsi"/>
        </w:rPr>
      </w:pPr>
      <w:r w:rsidRPr="00C96048">
        <w:rPr>
          <w:rFonts w:asciiTheme="majorHAnsi" w:hAnsiTheme="majorHAnsi"/>
        </w:rPr>
        <w:t xml:space="preserve">Staff:  Joe Finkbonner, Laura Platero, </w:t>
      </w:r>
      <w:r w:rsidR="00E176EB" w:rsidRPr="00C96048">
        <w:rPr>
          <w:rFonts w:asciiTheme="majorHAnsi" w:hAnsiTheme="majorHAnsi"/>
        </w:rPr>
        <w:t>and</w:t>
      </w:r>
      <w:r w:rsidR="003D24E5" w:rsidRPr="00C96048">
        <w:rPr>
          <w:rFonts w:asciiTheme="majorHAnsi" w:hAnsiTheme="majorHAnsi"/>
        </w:rPr>
        <w:t xml:space="preserve"> Sarah Sullivan</w:t>
      </w:r>
    </w:p>
    <w:p w14:paraId="62266D94" w14:textId="77777777" w:rsidR="00F75DD8" w:rsidRPr="00C96048" w:rsidRDefault="00F75DD8">
      <w:pPr>
        <w:rPr>
          <w:rFonts w:asciiTheme="majorHAnsi" w:hAnsiTheme="majorHAnsi"/>
        </w:rPr>
      </w:pPr>
    </w:p>
    <w:p w14:paraId="79B42696" w14:textId="5E097974" w:rsidR="00C56A69" w:rsidRPr="00C96048" w:rsidRDefault="00E176EB">
      <w:pPr>
        <w:rPr>
          <w:rFonts w:asciiTheme="majorHAnsi" w:hAnsiTheme="majorHAnsi"/>
        </w:rPr>
      </w:pPr>
      <w:r w:rsidRPr="00C96048">
        <w:rPr>
          <w:rFonts w:asciiTheme="majorHAnsi" w:hAnsiTheme="majorHAnsi"/>
        </w:rPr>
        <w:t xml:space="preserve">The Committee considered the four resolutions specific to NPAIHB grant applications and opportunities:  </w:t>
      </w:r>
    </w:p>
    <w:p w14:paraId="0F3951C4" w14:textId="77777777" w:rsidR="005A2A20" w:rsidRPr="00C96048" w:rsidRDefault="005A2A20">
      <w:pPr>
        <w:rPr>
          <w:rFonts w:asciiTheme="majorHAnsi" w:hAnsiTheme="majorHAnsi"/>
        </w:rPr>
      </w:pPr>
    </w:p>
    <w:p w14:paraId="4113B8D6" w14:textId="3022C1D5" w:rsidR="00E176EB" w:rsidRPr="00C96048" w:rsidRDefault="00E176EB" w:rsidP="00E176EB">
      <w:pPr>
        <w:rPr>
          <w:rFonts w:asciiTheme="majorHAnsi" w:hAnsiTheme="majorHAnsi"/>
          <w:b/>
          <w:iCs/>
        </w:rPr>
      </w:pPr>
      <w:r w:rsidRPr="00C96048">
        <w:rPr>
          <w:rFonts w:asciiTheme="majorHAnsi" w:hAnsiTheme="majorHAnsi"/>
          <w:b/>
          <w:iCs/>
        </w:rPr>
        <w:t>1.  Native Boost Research to Improve Native American Health (R21)</w:t>
      </w:r>
    </w:p>
    <w:p w14:paraId="2CA6C070" w14:textId="77777777" w:rsidR="00E176EB" w:rsidRPr="00C96048" w:rsidRDefault="00E176EB" w:rsidP="00E176EB">
      <w:pPr>
        <w:pStyle w:val="ListParagraph"/>
        <w:rPr>
          <w:rFonts w:asciiTheme="majorHAnsi" w:hAnsiTheme="majorHAnsi"/>
          <w:iCs/>
        </w:rPr>
      </w:pPr>
    </w:p>
    <w:p w14:paraId="071FFF90" w14:textId="40954315" w:rsidR="00E176EB" w:rsidRPr="00C96048" w:rsidRDefault="00E176EB" w:rsidP="00E176EB">
      <w:pPr>
        <w:rPr>
          <w:rFonts w:asciiTheme="majorHAnsi" w:hAnsiTheme="majorHAnsi" w:cs="Calibri"/>
          <w:iCs/>
        </w:rPr>
      </w:pPr>
      <w:r w:rsidRPr="00C96048">
        <w:rPr>
          <w:rFonts w:asciiTheme="majorHAnsi" w:hAnsiTheme="majorHAnsi" w:cs="Calibri"/>
          <w:bCs/>
        </w:rPr>
        <w:t xml:space="preserve">This resolution </w:t>
      </w:r>
      <w:r w:rsidRPr="00C96048">
        <w:rPr>
          <w:rFonts w:asciiTheme="majorHAnsi" w:hAnsiTheme="majorHAnsi" w:cs="Calibri"/>
        </w:rPr>
        <w:t>endorses and supports staff of the</w:t>
      </w:r>
      <w:r w:rsidRPr="00C96048">
        <w:rPr>
          <w:rFonts w:asciiTheme="majorHAnsi" w:hAnsiTheme="majorHAnsi" w:cs="Calibri"/>
          <w:i/>
        </w:rPr>
        <w:t xml:space="preserve"> </w:t>
      </w:r>
      <w:r w:rsidRPr="00C96048">
        <w:rPr>
          <w:rFonts w:asciiTheme="majorHAnsi" w:hAnsiTheme="majorHAnsi" w:cs="Calibri"/>
        </w:rPr>
        <w:t>Northwest Tribal Epidemiology Center (NWTEC),</w:t>
      </w:r>
      <w:r w:rsidRPr="00C96048">
        <w:rPr>
          <w:rFonts w:asciiTheme="majorHAnsi" w:hAnsiTheme="majorHAnsi" w:cs="Calibri"/>
          <w:i/>
        </w:rPr>
        <w:t xml:space="preserve"> </w:t>
      </w:r>
      <w:r w:rsidRPr="00C96048">
        <w:rPr>
          <w:rFonts w:asciiTheme="majorHAnsi" w:hAnsiTheme="majorHAnsi" w:cs="Calibri"/>
        </w:rPr>
        <w:t>under guidance of the Executive Director, to submit a grant application to the National Institute on Minority Health and Health Disparities (NIMHD) requesting funding for the initiative entitled “</w:t>
      </w:r>
      <w:r w:rsidRPr="00C96048">
        <w:rPr>
          <w:rFonts w:asciiTheme="majorHAnsi" w:hAnsiTheme="majorHAnsi" w:cs="Calibri"/>
          <w:iCs/>
        </w:rPr>
        <w:t>Native Immunization Boost</w:t>
      </w:r>
      <w:r w:rsidRPr="00C96048">
        <w:rPr>
          <w:rFonts w:asciiTheme="majorHAnsi" w:hAnsiTheme="majorHAnsi" w:cs="Calibri"/>
        </w:rPr>
        <w:t>”.</w:t>
      </w:r>
    </w:p>
    <w:p w14:paraId="2E3249FC" w14:textId="77777777" w:rsidR="0085788A" w:rsidRPr="00C96048" w:rsidRDefault="0085788A" w:rsidP="0085788A">
      <w:pPr>
        <w:rPr>
          <w:rFonts w:asciiTheme="majorHAnsi" w:hAnsiTheme="majorHAnsi"/>
        </w:rPr>
      </w:pPr>
    </w:p>
    <w:p w14:paraId="130D7575" w14:textId="393B4DB4" w:rsidR="00E176EB" w:rsidRPr="00C96048" w:rsidRDefault="00E176EB" w:rsidP="00E176EB">
      <w:pPr>
        <w:ind w:right="104"/>
        <w:rPr>
          <w:rFonts w:asciiTheme="majorHAnsi" w:eastAsia="Arial" w:hAnsiTheme="majorHAnsi" w:cstheme="minorHAnsi"/>
          <w:b/>
        </w:rPr>
      </w:pPr>
      <w:r w:rsidRPr="00C96048">
        <w:rPr>
          <w:rFonts w:asciiTheme="majorHAnsi" w:hAnsiTheme="majorHAnsi" w:cstheme="minorHAnsi"/>
          <w:b/>
          <w:spacing w:val="-2"/>
        </w:rPr>
        <w:t>2.  Support</w:t>
      </w:r>
      <w:r w:rsidRPr="00C96048">
        <w:rPr>
          <w:rFonts w:asciiTheme="majorHAnsi" w:hAnsiTheme="majorHAnsi" w:cstheme="minorHAnsi"/>
          <w:b/>
          <w:spacing w:val="2"/>
        </w:rPr>
        <w:t xml:space="preserve"> </w:t>
      </w:r>
      <w:r w:rsidRPr="00C96048">
        <w:rPr>
          <w:rFonts w:asciiTheme="majorHAnsi" w:hAnsiTheme="majorHAnsi" w:cstheme="minorHAnsi"/>
          <w:b/>
          <w:spacing w:val="-2"/>
        </w:rPr>
        <w:t>of</w:t>
      </w:r>
      <w:r w:rsidRPr="00C96048">
        <w:rPr>
          <w:rFonts w:asciiTheme="majorHAnsi" w:hAnsiTheme="majorHAnsi" w:cstheme="minorHAnsi"/>
          <w:b/>
        </w:rPr>
        <w:t xml:space="preserve"> Northwest Tribal Epidemiology Center </w:t>
      </w:r>
      <w:r w:rsidRPr="00C96048">
        <w:rPr>
          <w:rFonts w:asciiTheme="majorHAnsi" w:hAnsiTheme="majorHAnsi" w:cstheme="minorHAnsi"/>
          <w:b/>
          <w:spacing w:val="-2"/>
        </w:rPr>
        <w:t>Application</w:t>
      </w:r>
      <w:r w:rsidRPr="00C96048">
        <w:rPr>
          <w:rFonts w:asciiTheme="majorHAnsi" w:hAnsiTheme="majorHAnsi" w:cstheme="minorHAnsi"/>
          <w:b/>
          <w:spacing w:val="-3"/>
        </w:rPr>
        <w:t xml:space="preserve"> </w:t>
      </w:r>
      <w:r w:rsidRPr="00C96048">
        <w:rPr>
          <w:rFonts w:asciiTheme="majorHAnsi" w:hAnsiTheme="majorHAnsi" w:cstheme="minorHAnsi"/>
          <w:b/>
          <w:spacing w:val="-1"/>
        </w:rPr>
        <w:t>for</w:t>
      </w:r>
      <w:r w:rsidRPr="00C96048">
        <w:rPr>
          <w:rFonts w:asciiTheme="majorHAnsi" w:hAnsiTheme="majorHAnsi" w:cstheme="minorHAnsi"/>
          <w:b/>
          <w:spacing w:val="2"/>
        </w:rPr>
        <w:t xml:space="preserve"> </w:t>
      </w:r>
      <w:r w:rsidRPr="00C96048">
        <w:rPr>
          <w:rFonts w:asciiTheme="majorHAnsi" w:hAnsiTheme="majorHAnsi" w:cstheme="minorHAnsi"/>
          <w:b/>
          <w:spacing w:val="-1"/>
        </w:rPr>
        <w:t>Good</w:t>
      </w:r>
      <w:r w:rsidRPr="00C96048">
        <w:rPr>
          <w:rFonts w:asciiTheme="majorHAnsi" w:hAnsiTheme="majorHAnsi" w:cstheme="minorHAnsi"/>
          <w:b/>
          <w:spacing w:val="-3"/>
        </w:rPr>
        <w:t xml:space="preserve"> </w:t>
      </w:r>
      <w:r w:rsidRPr="00C96048">
        <w:rPr>
          <w:rFonts w:asciiTheme="majorHAnsi" w:hAnsiTheme="majorHAnsi" w:cstheme="minorHAnsi"/>
          <w:b/>
        </w:rPr>
        <w:t>Health</w:t>
      </w:r>
      <w:r w:rsidRPr="00C96048">
        <w:rPr>
          <w:rFonts w:asciiTheme="majorHAnsi" w:hAnsiTheme="majorHAnsi" w:cstheme="minorHAnsi"/>
          <w:b/>
          <w:spacing w:val="-8"/>
        </w:rPr>
        <w:t xml:space="preserve"> </w:t>
      </w:r>
      <w:r w:rsidRPr="00C96048">
        <w:rPr>
          <w:rFonts w:asciiTheme="majorHAnsi" w:hAnsiTheme="majorHAnsi" w:cstheme="minorHAnsi"/>
          <w:b/>
        </w:rPr>
        <w:t>and</w:t>
      </w:r>
      <w:r w:rsidRPr="00C96048">
        <w:rPr>
          <w:rFonts w:asciiTheme="majorHAnsi" w:hAnsiTheme="majorHAnsi" w:cstheme="minorHAnsi"/>
          <w:b/>
          <w:spacing w:val="2"/>
        </w:rPr>
        <w:t xml:space="preserve"> </w:t>
      </w:r>
      <w:r w:rsidRPr="00C96048">
        <w:rPr>
          <w:rFonts w:asciiTheme="majorHAnsi" w:hAnsiTheme="majorHAnsi" w:cstheme="minorHAnsi"/>
          <w:b/>
          <w:spacing w:val="-2"/>
        </w:rPr>
        <w:t>Wellness</w:t>
      </w:r>
      <w:r w:rsidRPr="00C96048">
        <w:rPr>
          <w:rFonts w:asciiTheme="majorHAnsi" w:hAnsiTheme="majorHAnsi" w:cstheme="minorHAnsi"/>
          <w:b/>
          <w:spacing w:val="3"/>
        </w:rPr>
        <w:t xml:space="preserve"> </w:t>
      </w:r>
      <w:r w:rsidRPr="00C96048">
        <w:rPr>
          <w:rFonts w:asciiTheme="majorHAnsi" w:hAnsiTheme="majorHAnsi" w:cstheme="minorHAnsi"/>
          <w:b/>
          <w:spacing w:val="1"/>
        </w:rPr>
        <w:t>in</w:t>
      </w:r>
      <w:r w:rsidRPr="00C96048">
        <w:rPr>
          <w:rFonts w:asciiTheme="majorHAnsi" w:hAnsiTheme="majorHAnsi" w:cstheme="minorHAnsi"/>
          <w:b/>
          <w:spacing w:val="-3"/>
        </w:rPr>
        <w:t xml:space="preserve"> </w:t>
      </w:r>
      <w:r w:rsidRPr="00C96048">
        <w:rPr>
          <w:rFonts w:asciiTheme="majorHAnsi" w:hAnsiTheme="majorHAnsi" w:cstheme="minorHAnsi"/>
          <w:b/>
        </w:rPr>
        <w:t>Indian</w:t>
      </w:r>
      <w:r w:rsidRPr="00C96048">
        <w:rPr>
          <w:rFonts w:asciiTheme="majorHAnsi" w:hAnsiTheme="majorHAnsi" w:cstheme="minorHAnsi"/>
          <w:b/>
          <w:spacing w:val="-8"/>
        </w:rPr>
        <w:t xml:space="preserve"> </w:t>
      </w:r>
      <w:r w:rsidRPr="00C96048">
        <w:rPr>
          <w:rFonts w:asciiTheme="majorHAnsi" w:hAnsiTheme="majorHAnsi" w:cstheme="minorHAnsi"/>
          <w:b/>
          <w:spacing w:val="-1"/>
        </w:rPr>
        <w:t>Country</w:t>
      </w:r>
      <w:r w:rsidRPr="00C96048">
        <w:rPr>
          <w:rFonts w:asciiTheme="majorHAnsi" w:hAnsiTheme="majorHAnsi" w:cstheme="minorHAnsi"/>
          <w:b/>
          <w:spacing w:val="3"/>
        </w:rPr>
        <w:t xml:space="preserve"> </w:t>
      </w:r>
      <w:r w:rsidRPr="00C96048">
        <w:rPr>
          <w:rFonts w:asciiTheme="majorHAnsi" w:hAnsiTheme="majorHAnsi" w:cstheme="minorHAnsi"/>
          <w:b/>
        </w:rPr>
        <w:t>(CDC-RFA-DP19-</w:t>
      </w:r>
      <w:r w:rsidRPr="00C96048">
        <w:rPr>
          <w:rFonts w:asciiTheme="majorHAnsi" w:hAnsiTheme="majorHAnsi" w:cstheme="minorHAnsi"/>
          <w:b/>
          <w:spacing w:val="-2"/>
        </w:rPr>
        <w:t>1903)</w:t>
      </w:r>
    </w:p>
    <w:p w14:paraId="719BFE1E" w14:textId="77777777" w:rsidR="00E176EB" w:rsidRPr="00C96048" w:rsidRDefault="00E176EB" w:rsidP="0085788A">
      <w:pPr>
        <w:rPr>
          <w:rFonts w:asciiTheme="majorHAnsi" w:hAnsiTheme="majorHAnsi"/>
        </w:rPr>
      </w:pPr>
    </w:p>
    <w:p w14:paraId="4B4BB8FD" w14:textId="21D269A4" w:rsidR="00476478" w:rsidRPr="00C96048" w:rsidRDefault="00E176EB" w:rsidP="000C139E">
      <w:pPr>
        <w:pStyle w:val="BodyText"/>
        <w:ind w:left="0" w:right="187"/>
        <w:rPr>
          <w:rFonts w:asciiTheme="majorHAnsi" w:hAnsiTheme="majorHAnsi" w:cstheme="minorHAnsi"/>
          <w:sz w:val="24"/>
          <w:szCs w:val="24"/>
        </w:rPr>
      </w:pPr>
      <w:r w:rsidRPr="00C96048">
        <w:rPr>
          <w:rFonts w:asciiTheme="majorHAnsi" w:hAnsiTheme="majorHAnsi" w:cstheme="minorHAnsi"/>
          <w:sz w:val="24"/>
          <w:szCs w:val="24"/>
        </w:rPr>
        <w:t>This resolution</w:t>
      </w:r>
      <w:r w:rsidRPr="00C96048">
        <w:rPr>
          <w:rFonts w:asciiTheme="majorHAnsi" w:hAnsiTheme="majorHAnsi" w:cstheme="minorHAnsi"/>
          <w:spacing w:val="8"/>
          <w:sz w:val="24"/>
          <w:szCs w:val="24"/>
        </w:rPr>
        <w:t xml:space="preserve"> </w:t>
      </w:r>
      <w:r w:rsidRPr="00C96048">
        <w:rPr>
          <w:rFonts w:asciiTheme="majorHAnsi" w:hAnsiTheme="majorHAnsi" w:cstheme="minorHAnsi"/>
          <w:sz w:val="24"/>
          <w:szCs w:val="24"/>
        </w:rPr>
        <w:t>endorses</w:t>
      </w:r>
      <w:r w:rsidRPr="00C96048">
        <w:rPr>
          <w:rFonts w:asciiTheme="majorHAnsi" w:hAnsiTheme="majorHAnsi" w:cstheme="minorHAnsi"/>
          <w:spacing w:val="-1"/>
          <w:sz w:val="24"/>
          <w:szCs w:val="24"/>
        </w:rPr>
        <w:t xml:space="preserve"> </w:t>
      </w:r>
      <w:r w:rsidR="000C139E" w:rsidRPr="00C96048">
        <w:rPr>
          <w:rFonts w:asciiTheme="majorHAnsi" w:hAnsiTheme="majorHAnsi" w:cstheme="minorHAnsi"/>
          <w:spacing w:val="-1"/>
          <w:sz w:val="24"/>
          <w:szCs w:val="24"/>
        </w:rPr>
        <w:t xml:space="preserve">and </w:t>
      </w:r>
      <w:r w:rsidRPr="00C96048">
        <w:rPr>
          <w:rFonts w:asciiTheme="majorHAnsi" w:hAnsiTheme="majorHAnsi" w:cstheme="minorHAnsi"/>
          <w:spacing w:val="-1"/>
          <w:sz w:val="24"/>
          <w:szCs w:val="24"/>
        </w:rPr>
        <w:t xml:space="preserve">supports </w:t>
      </w:r>
      <w:r w:rsidRPr="00C96048">
        <w:rPr>
          <w:rFonts w:asciiTheme="majorHAnsi" w:hAnsiTheme="majorHAnsi" w:cstheme="minorHAnsi"/>
          <w:sz w:val="24"/>
          <w:szCs w:val="24"/>
        </w:rPr>
        <w:t>the</w:t>
      </w:r>
      <w:r w:rsidRPr="00C96048">
        <w:rPr>
          <w:rFonts w:asciiTheme="majorHAnsi" w:hAnsiTheme="majorHAnsi" w:cstheme="minorHAnsi"/>
          <w:spacing w:val="11"/>
          <w:sz w:val="24"/>
          <w:szCs w:val="24"/>
        </w:rPr>
        <w:t xml:space="preserve"> </w:t>
      </w:r>
      <w:r w:rsidRPr="00C96048">
        <w:rPr>
          <w:rFonts w:asciiTheme="majorHAnsi" w:hAnsiTheme="majorHAnsi" w:cstheme="minorHAnsi"/>
          <w:sz w:val="24"/>
          <w:szCs w:val="24"/>
        </w:rPr>
        <w:t>application</w:t>
      </w:r>
      <w:r w:rsidRPr="00C96048">
        <w:rPr>
          <w:rFonts w:asciiTheme="majorHAnsi" w:hAnsiTheme="majorHAnsi" w:cstheme="minorHAnsi"/>
          <w:spacing w:val="3"/>
          <w:sz w:val="24"/>
          <w:szCs w:val="24"/>
        </w:rPr>
        <w:t xml:space="preserve"> </w:t>
      </w:r>
      <w:r w:rsidRPr="00C96048">
        <w:rPr>
          <w:rFonts w:asciiTheme="majorHAnsi" w:hAnsiTheme="majorHAnsi" w:cstheme="minorHAnsi"/>
          <w:sz w:val="24"/>
          <w:szCs w:val="24"/>
        </w:rPr>
        <w:t>of</w:t>
      </w:r>
      <w:r w:rsidRPr="00C96048">
        <w:rPr>
          <w:rFonts w:asciiTheme="majorHAnsi" w:hAnsiTheme="majorHAnsi" w:cstheme="minorHAnsi"/>
          <w:spacing w:val="8"/>
          <w:sz w:val="24"/>
          <w:szCs w:val="24"/>
        </w:rPr>
        <w:t xml:space="preserve"> </w:t>
      </w:r>
      <w:r w:rsidRPr="00C96048">
        <w:rPr>
          <w:rFonts w:asciiTheme="majorHAnsi" w:hAnsiTheme="majorHAnsi" w:cstheme="minorHAnsi"/>
          <w:sz w:val="24"/>
          <w:szCs w:val="24"/>
        </w:rPr>
        <w:t>the</w:t>
      </w:r>
      <w:r w:rsidRPr="00C96048">
        <w:rPr>
          <w:rFonts w:asciiTheme="majorHAnsi" w:hAnsiTheme="majorHAnsi" w:cstheme="minorHAnsi"/>
          <w:spacing w:val="3"/>
          <w:sz w:val="24"/>
          <w:szCs w:val="24"/>
        </w:rPr>
        <w:t xml:space="preserve"> Northwest Tribal Epidemiology Center (</w:t>
      </w:r>
      <w:r w:rsidRPr="00C96048">
        <w:rPr>
          <w:rFonts w:asciiTheme="majorHAnsi" w:hAnsiTheme="majorHAnsi" w:cstheme="minorHAnsi"/>
          <w:sz w:val="24"/>
          <w:szCs w:val="24"/>
        </w:rPr>
        <w:t>NWTEC), under the guidance of the Executive Director, for</w:t>
      </w:r>
      <w:r w:rsidRPr="00C96048">
        <w:rPr>
          <w:rFonts w:asciiTheme="majorHAnsi" w:hAnsiTheme="majorHAnsi" w:cstheme="minorHAnsi"/>
          <w:spacing w:val="-7"/>
          <w:sz w:val="24"/>
          <w:szCs w:val="24"/>
        </w:rPr>
        <w:t xml:space="preserve"> </w:t>
      </w:r>
      <w:r w:rsidRPr="00C96048">
        <w:rPr>
          <w:rFonts w:asciiTheme="majorHAnsi" w:hAnsiTheme="majorHAnsi" w:cstheme="minorHAnsi"/>
          <w:sz w:val="24"/>
          <w:szCs w:val="24"/>
        </w:rPr>
        <w:t>the</w:t>
      </w:r>
      <w:r w:rsidRPr="00C96048">
        <w:rPr>
          <w:rFonts w:asciiTheme="majorHAnsi" w:hAnsiTheme="majorHAnsi" w:cstheme="minorHAnsi"/>
          <w:spacing w:val="-2"/>
          <w:sz w:val="24"/>
          <w:szCs w:val="24"/>
        </w:rPr>
        <w:t xml:space="preserve"> Centers for Disease Control and Prevention (</w:t>
      </w:r>
      <w:r w:rsidRPr="00C96048">
        <w:rPr>
          <w:rFonts w:asciiTheme="majorHAnsi" w:hAnsiTheme="majorHAnsi" w:cstheme="minorHAnsi"/>
          <w:sz w:val="24"/>
          <w:szCs w:val="24"/>
        </w:rPr>
        <w:t>CDC) Good</w:t>
      </w:r>
      <w:r w:rsidRPr="00C96048">
        <w:rPr>
          <w:rFonts w:asciiTheme="majorHAnsi" w:hAnsiTheme="majorHAnsi" w:cstheme="minorHAnsi"/>
          <w:spacing w:val="-2"/>
          <w:sz w:val="24"/>
          <w:szCs w:val="24"/>
        </w:rPr>
        <w:t xml:space="preserve"> </w:t>
      </w:r>
      <w:r w:rsidRPr="00C96048">
        <w:rPr>
          <w:rFonts w:asciiTheme="majorHAnsi" w:hAnsiTheme="majorHAnsi" w:cstheme="minorHAnsi"/>
          <w:sz w:val="24"/>
          <w:szCs w:val="24"/>
        </w:rPr>
        <w:t>Health</w:t>
      </w:r>
      <w:r w:rsidRPr="00C96048">
        <w:rPr>
          <w:rFonts w:asciiTheme="majorHAnsi" w:hAnsiTheme="majorHAnsi" w:cstheme="minorHAnsi"/>
          <w:spacing w:val="-7"/>
          <w:sz w:val="24"/>
          <w:szCs w:val="24"/>
        </w:rPr>
        <w:t xml:space="preserve"> </w:t>
      </w:r>
      <w:r w:rsidRPr="00C96048">
        <w:rPr>
          <w:rFonts w:asciiTheme="majorHAnsi" w:hAnsiTheme="majorHAnsi" w:cstheme="minorHAnsi"/>
          <w:sz w:val="24"/>
          <w:szCs w:val="24"/>
        </w:rPr>
        <w:t>and</w:t>
      </w:r>
      <w:r w:rsidRPr="00C96048">
        <w:rPr>
          <w:rFonts w:asciiTheme="majorHAnsi" w:hAnsiTheme="majorHAnsi" w:cstheme="minorHAnsi"/>
          <w:spacing w:val="-2"/>
          <w:sz w:val="24"/>
          <w:szCs w:val="24"/>
        </w:rPr>
        <w:t xml:space="preserve"> </w:t>
      </w:r>
      <w:r w:rsidRPr="00C96048">
        <w:rPr>
          <w:rFonts w:asciiTheme="majorHAnsi" w:hAnsiTheme="majorHAnsi" w:cstheme="minorHAnsi"/>
          <w:sz w:val="24"/>
          <w:szCs w:val="24"/>
        </w:rPr>
        <w:t>Wellness</w:t>
      </w:r>
      <w:r w:rsidRPr="00C96048">
        <w:rPr>
          <w:rFonts w:asciiTheme="majorHAnsi" w:hAnsiTheme="majorHAnsi" w:cstheme="minorHAnsi"/>
          <w:spacing w:val="-1"/>
          <w:sz w:val="24"/>
          <w:szCs w:val="24"/>
        </w:rPr>
        <w:t xml:space="preserve"> </w:t>
      </w:r>
      <w:r w:rsidRPr="00C96048">
        <w:rPr>
          <w:rFonts w:asciiTheme="majorHAnsi" w:hAnsiTheme="majorHAnsi" w:cstheme="minorHAnsi"/>
          <w:sz w:val="24"/>
          <w:szCs w:val="24"/>
        </w:rPr>
        <w:t>in</w:t>
      </w:r>
      <w:r w:rsidRPr="00C96048">
        <w:rPr>
          <w:rFonts w:asciiTheme="majorHAnsi" w:hAnsiTheme="majorHAnsi" w:cstheme="minorHAnsi"/>
          <w:spacing w:val="3"/>
          <w:sz w:val="24"/>
          <w:szCs w:val="24"/>
        </w:rPr>
        <w:t xml:space="preserve"> </w:t>
      </w:r>
      <w:r w:rsidRPr="00C96048">
        <w:rPr>
          <w:rFonts w:asciiTheme="majorHAnsi" w:hAnsiTheme="majorHAnsi" w:cstheme="minorHAnsi"/>
          <w:sz w:val="24"/>
          <w:szCs w:val="24"/>
        </w:rPr>
        <w:t>Indian</w:t>
      </w:r>
      <w:r w:rsidRPr="00C96048">
        <w:rPr>
          <w:rFonts w:asciiTheme="majorHAnsi" w:hAnsiTheme="majorHAnsi" w:cstheme="minorHAnsi"/>
          <w:spacing w:val="-2"/>
          <w:sz w:val="24"/>
          <w:szCs w:val="24"/>
        </w:rPr>
        <w:t xml:space="preserve"> </w:t>
      </w:r>
      <w:r w:rsidRPr="00C96048">
        <w:rPr>
          <w:rFonts w:asciiTheme="majorHAnsi" w:hAnsiTheme="majorHAnsi" w:cstheme="minorHAnsi"/>
          <w:sz w:val="24"/>
          <w:szCs w:val="24"/>
        </w:rPr>
        <w:t>Country</w:t>
      </w:r>
      <w:r w:rsidRPr="00C96048">
        <w:rPr>
          <w:rFonts w:asciiTheme="majorHAnsi" w:hAnsiTheme="majorHAnsi" w:cstheme="minorHAnsi"/>
          <w:spacing w:val="-1"/>
          <w:sz w:val="24"/>
          <w:szCs w:val="24"/>
        </w:rPr>
        <w:t xml:space="preserve"> </w:t>
      </w:r>
      <w:r w:rsidRPr="00C96048">
        <w:rPr>
          <w:rFonts w:asciiTheme="majorHAnsi" w:hAnsiTheme="majorHAnsi" w:cstheme="minorHAnsi"/>
          <w:sz w:val="24"/>
          <w:szCs w:val="24"/>
        </w:rPr>
        <w:t>Initiative</w:t>
      </w:r>
      <w:r w:rsidRPr="00C96048">
        <w:rPr>
          <w:rFonts w:asciiTheme="majorHAnsi" w:hAnsiTheme="majorHAnsi" w:cstheme="minorHAnsi"/>
          <w:spacing w:val="3"/>
          <w:sz w:val="24"/>
          <w:szCs w:val="24"/>
        </w:rPr>
        <w:t xml:space="preserve"> </w:t>
      </w:r>
      <w:r w:rsidRPr="00C96048">
        <w:rPr>
          <w:rFonts w:asciiTheme="majorHAnsi" w:hAnsiTheme="majorHAnsi" w:cstheme="minorHAnsi"/>
          <w:sz w:val="24"/>
          <w:szCs w:val="24"/>
        </w:rPr>
        <w:t>(CDC-RFA-DP19-1903).</w:t>
      </w:r>
    </w:p>
    <w:p w14:paraId="0156251F" w14:textId="77777777" w:rsidR="000C139E" w:rsidRPr="00C96048" w:rsidRDefault="000C139E" w:rsidP="000C139E">
      <w:pPr>
        <w:pStyle w:val="BodyText"/>
        <w:ind w:left="0" w:right="187"/>
        <w:rPr>
          <w:rFonts w:asciiTheme="majorHAnsi" w:hAnsiTheme="majorHAnsi" w:cstheme="minorHAnsi"/>
          <w:sz w:val="24"/>
          <w:szCs w:val="24"/>
        </w:rPr>
      </w:pPr>
    </w:p>
    <w:p w14:paraId="0D72EABB" w14:textId="60DAC970" w:rsidR="00E176EB" w:rsidRPr="00C96048" w:rsidRDefault="000C139E" w:rsidP="000C139E">
      <w:pPr>
        <w:pStyle w:val="Default"/>
        <w:rPr>
          <w:rFonts w:asciiTheme="majorHAnsi" w:hAnsiTheme="majorHAnsi" w:cs="Calibri"/>
          <w:b/>
          <w:bCs/>
        </w:rPr>
      </w:pPr>
      <w:r w:rsidRPr="00C96048">
        <w:rPr>
          <w:rFonts w:asciiTheme="majorHAnsi" w:hAnsiTheme="majorHAnsi"/>
          <w:b/>
        </w:rPr>
        <w:t xml:space="preserve">3.  </w:t>
      </w:r>
      <w:r w:rsidR="00E176EB" w:rsidRPr="00C96048">
        <w:rPr>
          <w:rFonts w:asciiTheme="majorHAnsi" w:hAnsiTheme="majorHAnsi"/>
          <w:b/>
        </w:rPr>
        <w:t>Ford Family Foundation Children, Youth, and Families Grant Opportunities to Expand Dental Health Teams in Oregon</w:t>
      </w:r>
    </w:p>
    <w:p w14:paraId="708A873C" w14:textId="77777777" w:rsidR="00E176EB" w:rsidRPr="00C96048" w:rsidRDefault="00E176EB" w:rsidP="008C0C88">
      <w:pPr>
        <w:rPr>
          <w:rFonts w:asciiTheme="majorHAnsi" w:hAnsiTheme="majorHAnsi"/>
        </w:rPr>
      </w:pPr>
    </w:p>
    <w:p w14:paraId="115616D5" w14:textId="6476DF2B" w:rsidR="00E176EB" w:rsidRPr="00C96048" w:rsidRDefault="000C139E" w:rsidP="00E176EB">
      <w:pPr>
        <w:rPr>
          <w:rFonts w:asciiTheme="majorHAnsi" w:hAnsiTheme="majorHAnsi"/>
        </w:rPr>
      </w:pPr>
      <w:r w:rsidRPr="00C96048">
        <w:rPr>
          <w:rFonts w:asciiTheme="majorHAnsi" w:hAnsiTheme="majorHAnsi"/>
        </w:rPr>
        <w:t>This resolution</w:t>
      </w:r>
      <w:r w:rsidR="00E176EB" w:rsidRPr="00C96048">
        <w:rPr>
          <w:rFonts w:asciiTheme="majorHAnsi" w:hAnsiTheme="majorHAnsi"/>
        </w:rPr>
        <w:t xml:space="preserve"> endorses and supports efforts by NPAIHB staff, under the guidance of the Executive Director, to apply for the open Children, Youth and Families grants opportunities through the Ford Family Foundation to expand dental health teams in Oregon. </w:t>
      </w:r>
    </w:p>
    <w:p w14:paraId="1D4C4093" w14:textId="77777777" w:rsidR="00E176EB" w:rsidRPr="00C96048" w:rsidRDefault="00E176EB" w:rsidP="008C0C88">
      <w:pPr>
        <w:rPr>
          <w:rFonts w:asciiTheme="majorHAnsi" w:hAnsiTheme="majorHAnsi"/>
        </w:rPr>
      </w:pPr>
    </w:p>
    <w:p w14:paraId="052DEC17" w14:textId="7359203E" w:rsidR="00E176EB" w:rsidRPr="00C96048" w:rsidRDefault="000C139E" w:rsidP="000C139E">
      <w:pPr>
        <w:pStyle w:val="Default"/>
        <w:rPr>
          <w:rFonts w:asciiTheme="majorHAnsi" w:hAnsiTheme="majorHAnsi" w:cs="Calibri"/>
          <w:b/>
          <w:bCs/>
        </w:rPr>
      </w:pPr>
      <w:r w:rsidRPr="00C96048">
        <w:rPr>
          <w:rFonts w:asciiTheme="majorHAnsi" w:hAnsiTheme="majorHAnsi" w:cs="Calibri"/>
          <w:b/>
          <w:bCs/>
        </w:rPr>
        <w:t xml:space="preserve">4. “OREGON DENTAL ACCESS CAMPAIGN”-- </w:t>
      </w:r>
      <w:r w:rsidR="00E176EB" w:rsidRPr="00C96048">
        <w:rPr>
          <w:rFonts w:asciiTheme="majorHAnsi" w:hAnsiTheme="majorHAnsi" w:cs="Calibri"/>
          <w:b/>
          <w:bCs/>
        </w:rPr>
        <w:t>Northwest Health Foundation Policy and Systems Change Grant Invitation</w:t>
      </w:r>
    </w:p>
    <w:p w14:paraId="2EB6A22D" w14:textId="77777777" w:rsidR="00E176EB" w:rsidRPr="00C96048" w:rsidRDefault="00E176EB" w:rsidP="008C0C88">
      <w:pPr>
        <w:rPr>
          <w:rFonts w:asciiTheme="majorHAnsi" w:hAnsiTheme="majorHAnsi"/>
        </w:rPr>
      </w:pPr>
    </w:p>
    <w:p w14:paraId="4E747D3A" w14:textId="7C4B3099" w:rsidR="00E176EB" w:rsidRPr="00C96048" w:rsidRDefault="000C139E" w:rsidP="00E176EB">
      <w:pPr>
        <w:rPr>
          <w:rFonts w:asciiTheme="majorHAnsi" w:hAnsiTheme="majorHAnsi"/>
        </w:rPr>
      </w:pPr>
      <w:r w:rsidRPr="00C96048">
        <w:rPr>
          <w:rFonts w:asciiTheme="majorHAnsi" w:hAnsiTheme="majorHAnsi"/>
        </w:rPr>
        <w:t xml:space="preserve">This resolution </w:t>
      </w:r>
      <w:r w:rsidR="00E176EB" w:rsidRPr="00C96048">
        <w:rPr>
          <w:rFonts w:asciiTheme="majorHAnsi" w:hAnsiTheme="majorHAnsi"/>
        </w:rPr>
        <w:t>endorses and supports efforts by NPAIHB staff, under the guidance of the Executive Director, to apply for the grant opportunity for Policy and Systems Change with the Northwest Health Foundation in response to the invitation to apply from the Northwest Health Foundation.</w:t>
      </w:r>
    </w:p>
    <w:p w14:paraId="129C2442" w14:textId="77777777" w:rsidR="004122A8" w:rsidRPr="00C96048" w:rsidRDefault="004122A8" w:rsidP="004122A8">
      <w:pPr>
        <w:rPr>
          <w:rFonts w:asciiTheme="majorHAnsi" w:hAnsiTheme="majorHAnsi"/>
        </w:rPr>
      </w:pPr>
    </w:p>
    <w:p w14:paraId="0AFD6FF3" w14:textId="1516CC94" w:rsidR="00BB272A" w:rsidRPr="00C96048" w:rsidRDefault="00234DF5" w:rsidP="000C139E">
      <w:pPr>
        <w:rPr>
          <w:rFonts w:asciiTheme="majorHAnsi" w:hAnsiTheme="majorHAnsi"/>
        </w:rPr>
      </w:pPr>
      <w:r w:rsidRPr="00C96048">
        <w:rPr>
          <w:rFonts w:asciiTheme="majorHAnsi" w:hAnsiTheme="majorHAnsi"/>
          <w:u w:val="single"/>
        </w:rPr>
        <w:t>Action</w:t>
      </w:r>
      <w:r w:rsidRPr="00C96048">
        <w:rPr>
          <w:rFonts w:asciiTheme="majorHAnsi" w:hAnsiTheme="majorHAnsi"/>
        </w:rPr>
        <w:t xml:space="preserve">: </w:t>
      </w:r>
      <w:r w:rsidR="00BB272A" w:rsidRPr="00C96048">
        <w:rPr>
          <w:rFonts w:asciiTheme="majorHAnsi" w:hAnsiTheme="majorHAnsi"/>
        </w:rPr>
        <w:t xml:space="preserve">Motion by </w:t>
      </w:r>
      <w:r w:rsidR="000C139E" w:rsidRPr="00C96048">
        <w:rPr>
          <w:rFonts w:asciiTheme="majorHAnsi" w:hAnsiTheme="majorHAnsi"/>
        </w:rPr>
        <w:t>Spokane</w:t>
      </w:r>
      <w:r w:rsidR="00BB272A" w:rsidRPr="00C96048">
        <w:rPr>
          <w:rFonts w:asciiTheme="majorHAnsi" w:hAnsiTheme="majorHAnsi"/>
        </w:rPr>
        <w:t xml:space="preserve">; second by </w:t>
      </w:r>
      <w:r w:rsidR="000C139E" w:rsidRPr="00C96048">
        <w:rPr>
          <w:rFonts w:asciiTheme="majorHAnsi" w:hAnsiTheme="majorHAnsi"/>
        </w:rPr>
        <w:t>Klamath</w:t>
      </w:r>
      <w:r w:rsidR="00BB272A" w:rsidRPr="00C96048">
        <w:rPr>
          <w:rFonts w:asciiTheme="majorHAnsi" w:hAnsiTheme="majorHAnsi"/>
        </w:rPr>
        <w:t xml:space="preserve">; and unanimous vote to pass the </w:t>
      </w:r>
      <w:r w:rsidR="00A75643" w:rsidRPr="00C96048">
        <w:rPr>
          <w:rFonts w:asciiTheme="majorHAnsi" w:hAnsiTheme="majorHAnsi"/>
        </w:rPr>
        <w:t xml:space="preserve">four </w:t>
      </w:r>
      <w:r w:rsidR="00BB272A" w:rsidRPr="00C96048">
        <w:rPr>
          <w:rFonts w:asciiTheme="majorHAnsi" w:hAnsiTheme="majorHAnsi"/>
        </w:rPr>
        <w:t>resolution</w:t>
      </w:r>
      <w:r w:rsidR="00A75643" w:rsidRPr="00C96048">
        <w:rPr>
          <w:rFonts w:asciiTheme="majorHAnsi" w:hAnsiTheme="majorHAnsi"/>
        </w:rPr>
        <w:t>s</w:t>
      </w:r>
      <w:r w:rsidR="00BB272A" w:rsidRPr="00C96048">
        <w:rPr>
          <w:rFonts w:asciiTheme="majorHAnsi" w:hAnsiTheme="majorHAnsi"/>
        </w:rPr>
        <w:t xml:space="preserve"> to the Board for consideration.</w:t>
      </w:r>
    </w:p>
    <w:p w14:paraId="6E405F8D" w14:textId="77777777" w:rsidR="0085788A" w:rsidRPr="00C96048" w:rsidRDefault="0085788A" w:rsidP="00144E14">
      <w:pPr>
        <w:rPr>
          <w:rFonts w:asciiTheme="majorHAnsi" w:hAnsiTheme="majorHAnsi"/>
        </w:rPr>
      </w:pPr>
    </w:p>
    <w:p w14:paraId="5E447581" w14:textId="516747E7" w:rsidR="006661F9" w:rsidRPr="00C96048" w:rsidRDefault="000C139E" w:rsidP="006661F9">
      <w:pPr>
        <w:rPr>
          <w:rFonts w:asciiTheme="majorHAnsi" w:hAnsiTheme="majorHAnsi"/>
        </w:rPr>
      </w:pPr>
      <w:r w:rsidRPr="00C96048">
        <w:rPr>
          <w:rFonts w:asciiTheme="majorHAnsi" w:hAnsiTheme="majorHAnsi"/>
        </w:rPr>
        <w:t>The Committee then reviewed and discussed the FY 2020 NPAIHB IHS</w:t>
      </w:r>
      <w:r w:rsidR="007F19F8" w:rsidRPr="00C96048">
        <w:rPr>
          <w:rFonts w:asciiTheme="majorHAnsi" w:hAnsiTheme="majorHAnsi"/>
        </w:rPr>
        <w:t xml:space="preserve"> budget analysis tables, new initiatives, </w:t>
      </w:r>
      <w:r w:rsidRPr="00C96048">
        <w:rPr>
          <w:rFonts w:asciiTheme="majorHAnsi" w:hAnsiTheme="majorHAnsi"/>
        </w:rPr>
        <w:t>and program increases requests and also considered a resolution with specific requests.</w:t>
      </w:r>
      <w:r w:rsidR="006661F9" w:rsidRPr="00C96048">
        <w:rPr>
          <w:rFonts w:asciiTheme="majorHAnsi" w:hAnsiTheme="majorHAnsi"/>
        </w:rPr>
        <w:t xml:space="preserve"> </w:t>
      </w:r>
      <w:r w:rsidR="006661F9" w:rsidRPr="00C96048">
        <w:rPr>
          <w:rFonts w:asciiTheme="majorHAnsi" w:hAnsiTheme="majorHAnsi"/>
          <w:b/>
        </w:rPr>
        <w:t>Resolution is titled, A CALL TO CONGRESS TO SUPPORT FY 2020 INDIAN HEALTH SERVICE FUNDING.</w:t>
      </w:r>
    </w:p>
    <w:p w14:paraId="520F0163" w14:textId="77777777" w:rsidR="000C139E" w:rsidRPr="00C96048" w:rsidRDefault="000C139E" w:rsidP="000C139E">
      <w:pPr>
        <w:rPr>
          <w:rFonts w:asciiTheme="majorHAnsi" w:hAnsiTheme="majorHAnsi"/>
        </w:rPr>
      </w:pPr>
    </w:p>
    <w:p w14:paraId="782AF6D0" w14:textId="6B17D47B" w:rsidR="0090363E" w:rsidRPr="00C96048" w:rsidRDefault="0090363E" w:rsidP="0090363E">
      <w:pPr>
        <w:rPr>
          <w:rFonts w:asciiTheme="majorHAnsi" w:hAnsiTheme="majorHAnsi"/>
        </w:rPr>
      </w:pPr>
      <w:r w:rsidRPr="00C96048">
        <w:rPr>
          <w:rFonts w:asciiTheme="majorHAnsi" w:hAnsiTheme="majorHAnsi"/>
        </w:rPr>
        <w:t xml:space="preserve">This resolution calls on Congress to Support: </w:t>
      </w:r>
    </w:p>
    <w:p w14:paraId="3009F2A4" w14:textId="37549C0B" w:rsidR="0090363E" w:rsidRPr="00C96048" w:rsidRDefault="0090363E" w:rsidP="0090363E">
      <w:pPr>
        <w:pStyle w:val="ListParagraph"/>
        <w:numPr>
          <w:ilvl w:val="0"/>
          <w:numId w:val="2"/>
        </w:numPr>
        <w:rPr>
          <w:rFonts w:asciiTheme="majorHAnsi" w:hAnsiTheme="majorHAnsi"/>
        </w:rPr>
      </w:pPr>
      <w:r w:rsidRPr="00C96048">
        <w:rPr>
          <w:rFonts w:asciiTheme="majorHAnsi" w:hAnsiTheme="majorHAnsi"/>
        </w:rPr>
        <w:t xml:space="preserve">Funding for the Indian Health Service for </w:t>
      </w:r>
      <w:r w:rsidR="007F19F8" w:rsidRPr="00C96048">
        <w:rPr>
          <w:rFonts w:asciiTheme="majorHAnsi" w:hAnsiTheme="majorHAnsi"/>
        </w:rPr>
        <w:t>Community Health Representatives, Health Education, Urban Health, Indian Health Professions, Tribal Management, Self-Governance and Facilities and Environmental Support in FY 2020 at no less than FY 2019 enacted levels; and</w:t>
      </w:r>
    </w:p>
    <w:p w14:paraId="1E281907" w14:textId="3DC369DD" w:rsidR="0090363E" w:rsidRPr="00C96048" w:rsidRDefault="0090363E" w:rsidP="0090363E">
      <w:pPr>
        <w:pStyle w:val="ListParagraph"/>
        <w:numPr>
          <w:ilvl w:val="0"/>
          <w:numId w:val="2"/>
        </w:numPr>
        <w:rPr>
          <w:rFonts w:asciiTheme="majorHAnsi" w:hAnsiTheme="majorHAnsi"/>
        </w:rPr>
      </w:pPr>
      <w:r w:rsidRPr="00C96048">
        <w:rPr>
          <w:rFonts w:asciiTheme="majorHAnsi" w:hAnsiTheme="majorHAnsi"/>
        </w:rPr>
        <w:t>$195 million for medical inflation and population growth increases for the Indian Health Service for Services and Facilities (not including Contract Support Costs which is an indefinite appropriation) for FY 2020; and</w:t>
      </w:r>
    </w:p>
    <w:p w14:paraId="2985FB7D" w14:textId="77777777" w:rsidR="0090363E" w:rsidRPr="00C96048" w:rsidRDefault="0090363E" w:rsidP="0090363E">
      <w:pPr>
        <w:pStyle w:val="ListParagraph"/>
        <w:numPr>
          <w:ilvl w:val="0"/>
          <w:numId w:val="2"/>
        </w:numPr>
        <w:rPr>
          <w:rFonts w:asciiTheme="majorHAnsi" w:hAnsiTheme="majorHAnsi"/>
        </w:rPr>
      </w:pPr>
      <w:r w:rsidRPr="00C96048">
        <w:rPr>
          <w:rFonts w:asciiTheme="majorHAnsi" w:hAnsiTheme="majorHAnsi"/>
        </w:rPr>
        <w:t>$70 million in funding for new Indian Health Service initiatives as directed by Tribes and Tribal Organizations through tribal consultation, including, Indian Health Service Electronic Health Record System funding at $25 million, expansion of the Community Health Aide Program in the lower 48 at $20 million, and ending the Hepatitis C and HIV/AIDs Epidemic in Indian Country at $25 million; and</w:t>
      </w:r>
    </w:p>
    <w:p w14:paraId="481021F8" w14:textId="2ED4D65F" w:rsidR="0090363E" w:rsidRPr="00C96048" w:rsidRDefault="00E35626" w:rsidP="0090363E">
      <w:pPr>
        <w:pStyle w:val="ListParagraph"/>
        <w:numPr>
          <w:ilvl w:val="0"/>
          <w:numId w:val="2"/>
        </w:numPr>
        <w:rPr>
          <w:rFonts w:asciiTheme="majorHAnsi" w:hAnsiTheme="majorHAnsi"/>
        </w:rPr>
      </w:pPr>
      <w:r w:rsidRPr="00C96048">
        <w:rPr>
          <w:rFonts w:asciiTheme="majorHAnsi" w:hAnsiTheme="majorHAnsi"/>
        </w:rPr>
        <w:t>$360</w:t>
      </w:r>
      <w:r w:rsidR="0090363E" w:rsidRPr="00C96048">
        <w:rPr>
          <w:rFonts w:asciiTheme="majorHAnsi" w:hAnsiTheme="majorHAnsi"/>
        </w:rPr>
        <w:t xml:space="preserve"> million in program increases for FY 2020 above FY 2019 enacted level for Dental Services at $</w:t>
      </w:r>
      <w:r w:rsidRPr="00C96048">
        <w:rPr>
          <w:rFonts w:asciiTheme="majorHAnsi" w:hAnsiTheme="majorHAnsi"/>
        </w:rPr>
        <w:t>20 million, Mental Health at $10</w:t>
      </w:r>
      <w:r w:rsidR="0090363E" w:rsidRPr="00C96048">
        <w:rPr>
          <w:rFonts w:asciiTheme="majorHAnsi" w:hAnsiTheme="majorHAnsi"/>
        </w:rPr>
        <w:t>2.5 million, Alcohol and Substance Abuse at $152.5 million, Purchased and Referred Care at $50 million, Indian Health Professions at $10 million, and Small Ambulatory Program at $25 million.</w:t>
      </w:r>
    </w:p>
    <w:p w14:paraId="7AD6005F" w14:textId="7FC9FC6D" w:rsidR="004C456D" w:rsidRPr="00C96048" w:rsidRDefault="004C456D" w:rsidP="004C456D">
      <w:pPr>
        <w:pStyle w:val="NoSpacing"/>
        <w:numPr>
          <w:ilvl w:val="0"/>
          <w:numId w:val="2"/>
        </w:numPr>
        <w:rPr>
          <w:rFonts w:asciiTheme="majorHAnsi" w:hAnsiTheme="majorHAnsi"/>
          <w:sz w:val="24"/>
          <w:szCs w:val="24"/>
        </w:rPr>
      </w:pPr>
      <w:r w:rsidRPr="00C96048">
        <w:rPr>
          <w:rFonts w:asciiTheme="majorHAnsi" w:hAnsiTheme="majorHAnsi"/>
          <w:sz w:val="24"/>
          <w:szCs w:val="24"/>
        </w:rPr>
        <w:t xml:space="preserve">$7 billion for IHS in FY 2020 to get IHS on track for phased in full funding at $36.8 billion in 12 years. </w:t>
      </w:r>
    </w:p>
    <w:p w14:paraId="48704315" w14:textId="77777777" w:rsidR="00E35626" w:rsidRPr="00C96048" w:rsidRDefault="00E35626" w:rsidP="00E35626">
      <w:pPr>
        <w:pStyle w:val="NoSpacing"/>
        <w:rPr>
          <w:rFonts w:asciiTheme="majorHAnsi" w:hAnsiTheme="majorHAnsi"/>
          <w:sz w:val="24"/>
          <w:szCs w:val="24"/>
        </w:rPr>
      </w:pPr>
    </w:p>
    <w:p w14:paraId="15CA4C35" w14:textId="76B73233" w:rsidR="00E35626" w:rsidRPr="00C96048" w:rsidRDefault="00E35626" w:rsidP="00E35626">
      <w:pPr>
        <w:pStyle w:val="NoSpacing"/>
        <w:rPr>
          <w:rFonts w:asciiTheme="majorHAnsi" w:hAnsiTheme="majorHAnsi"/>
          <w:sz w:val="24"/>
          <w:szCs w:val="24"/>
        </w:rPr>
      </w:pPr>
      <w:r w:rsidRPr="00C96048">
        <w:rPr>
          <w:rFonts w:asciiTheme="majorHAnsi" w:hAnsiTheme="majorHAnsi"/>
          <w:sz w:val="24"/>
          <w:szCs w:val="24"/>
        </w:rPr>
        <w:t xml:space="preserve">The Committee asked that the Mental Health line item request be increased by $50 million so that it is equal to the Alcohol and Substance Abuse request. </w:t>
      </w:r>
    </w:p>
    <w:p w14:paraId="6114F012" w14:textId="77777777" w:rsidR="000C139E" w:rsidRPr="00C96048" w:rsidRDefault="000C139E" w:rsidP="00BF787A">
      <w:pPr>
        <w:rPr>
          <w:rFonts w:asciiTheme="majorHAnsi" w:hAnsiTheme="majorHAnsi"/>
        </w:rPr>
      </w:pPr>
    </w:p>
    <w:p w14:paraId="45A4694B" w14:textId="28DC5BB6" w:rsidR="00E869A5" w:rsidRPr="00C96048" w:rsidRDefault="00234DF5" w:rsidP="000C139E">
      <w:pPr>
        <w:rPr>
          <w:rFonts w:asciiTheme="majorHAnsi" w:hAnsiTheme="majorHAnsi"/>
        </w:rPr>
      </w:pPr>
      <w:r w:rsidRPr="00C96048">
        <w:rPr>
          <w:rFonts w:asciiTheme="majorHAnsi" w:hAnsiTheme="majorHAnsi"/>
          <w:u w:val="single"/>
        </w:rPr>
        <w:t>Action</w:t>
      </w:r>
      <w:r w:rsidR="005C0CCB" w:rsidRPr="00C96048">
        <w:rPr>
          <w:rFonts w:asciiTheme="majorHAnsi" w:hAnsiTheme="majorHAnsi"/>
        </w:rPr>
        <w:t xml:space="preserve">:  </w:t>
      </w:r>
      <w:r w:rsidR="00C117A6" w:rsidRPr="00C96048">
        <w:rPr>
          <w:rFonts w:asciiTheme="majorHAnsi" w:hAnsiTheme="majorHAnsi"/>
        </w:rPr>
        <w:t xml:space="preserve">Motion </w:t>
      </w:r>
      <w:r w:rsidR="00FE5336" w:rsidRPr="00C96048">
        <w:rPr>
          <w:rFonts w:asciiTheme="majorHAnsi" w:hAnsiTheme="majorHAnsi"/>
        </w:rPr>
        <w:t xml:space="preserve">by </w:t>
      </w:r>
      <w:r w:rsidR="000C139E" w:rsidRPr="00C96048">
        <w:rPr>
          <w:rFonts w:asciiTheme="majorHAnsi" w:hAnsiTheme="majorHAnsi"/>
        </w:rPr>
        <w:t>Spokane</w:t>
      </w:r>
      <w:r w:rsidR="00BF787A" w:rsidRPr="00C96048">
        <w:rPr>
          <w:rFonts w:asciiTheme="majorHAnsi" w:hAnsiTheme="majorHAnsi"/>
        </w:rPr>
        <w:t xml:space="preserve">; second by </w:t>
      </w:r>
      <w:r w:rsidR="000C139E" w:rsidRPr="00C96048">
        <w:rPr>
          <w:rFonts w:asciiTheme="majorHAnsi" w:hAnsiTheme="majorHAnsi"/>
        </w:rPr>
        <w:t>Colville</w:t>
      </w:r>
      <w:r w:rsidR="00506F16" w:rsidRPr="00C96048">
        <w:rPr>
          <w:rFonts w:asciiTheme="majorHAnsi" w:hAnsiTheme="majorHAnsi"/>
        </w:rPr>
        <w:t>; and unanimous vote to pass the resolution to the Board for consideration.</w:t>
      </w:r>
    </w:p>
    <w:p w14:paraId="28B71568" w14:textId="77777777" w:rsidR="000C139E" w:rsidRPr="00C96048" w:rsidRDefault="000C139E" w:rsidP="000C139E">
      <w:pPr>
        <w:rPr>
          <w:rFonts w:asciiTheme="majorHAnsi" w:hAnsiTheme="majorHAnsi"/>
        </w:rPr>
      </w:pPr>
    </w:p>
    <w:p w14:paraId="12BD0AC7" w14:textId="3B635DDC" w:rsidR="000C139E" w:rsidRPr="00C96048" w:rsidRDefault="00BA6108" w:rsidP="000C139E">
      <w:pPr>
        <w:rPr>
          <w:rFonts w:asciiTheme="majorHAnsi" w:hAnsiTheme="majorHAnsi"/>
        </w:rPr>
      </w:pPr>
      <w:r w:rsidRPr="00C96048">
        <w:rPr>
          <w:rFonts w:asciiTheme="majorHAnsi" w:hAnsiTheme="majorHAnsi"/>
        </w:rPr>
        <w:t xml:space="preserve">Committee </w:t>
      </w:r>
      <w:r w:rsidR="00E35626" w:rsidRPr="00C96048">
        <w:rPr>
          <w:rFonts w:asciiTheme="majorHAnsi" w:hAnsiTheme="majorHAnsi"/>
        </w:rPr>
        <w:t xml:space="preserve">further </w:t>
      </w:r>
      <w:r w:rsidRPr="00C96048">
        <w:rPr>
          <w:rFonts w:asciiTheme="majorHAnsi" w:hAnsiTheme="majorHAnsi"/>
        </w:rPr>
        <w:t xml:space="preserve">requested that language be added to NPAIHB’s FY 2020 IHS budget analysis that requests that a cost report be done for Youth Regional Treatment Centers so they can receive an inpatient rate for services.  </w:t>
      </w:r>
    </w:p>
    <w:p w14:paraId="55859DDE" w14:textId="77777777" w:rsidR="00BA6108" w:rsidRPr="00C96048" w:rsidRDefault="00BA6108" w:rsidP="000C139E">
      <w:pPr>
        <w:rPr>
          <w:rFonts w:asciiTheme="majorHAnsi" w:hAnsiTheme="majorHAnsi"/>
        </w:rPr>
      </w:pPr>
    </w:p>
    <w:p w14:paraId="42538A81" w14:textId="0D686152" w:rsidR="00BA6108" w:rsidRPr="00C96048" w:rsidRDefault="00BA6108" w:rsidP="000C139E">
      <w:pPr>
        <w:rPr>
          <w:rFonts w:asciiTheme="majorHAnsi" w:hAnsiTheme="majorHAnsi"/>
        </w:rPr>
      </w:pPr>
      <w:r w:rsidRPr="00C96048">
        <w:rPr>
          <w:rFonts w:asciiTheme="majorHAnsi" w:hAnsiTheme="majorHAnsi"/>
        </w:rPr>
        <w:t xml:space="preserve">In addition, </w:t>
      </w:r>
      <w:r w:rsidR="00E35626" w:rsidRPr="00C96048">
        <w:rPr>
          <w:rFonts w:asciiTheme="majorHAnsi" w:hAnsiTheme="majorHAnsi"/>
        </w:rPr>
        <w:t xml:space="preserve">related to </w:t>
      </w:r>
      <w:r w:rsidRPr="00C96048">
        <w:rPr>
          <w:rFonts w:asciiTheme="majorHAnsi" w:hAnsiTheme="majorHAnsi"/>
        </w:rPr>
        <w:t>FY 2019 Omnibus directives to Congress, Committee recommended that NPAIHB provide recommendations to IHS related to: (1) Health Care Facilities Construction gap analysis; and (2) Demonstration Projects criteria report being prepared for Congress</w:t>
      </w:r>
      <w:r w:rsidR="00E35626" w:rsidRPr="00C96048">
        <w:rPr>
          <w:rFonts w:asciiTheme="majorHAnsi" w:hAnsiTheme="majorHAnsi"/>
        </w:rPr>
        <w:t xml:space="preserve"> which could fund Regional Referral Specialty Centers</w:t>
      </w:r>
      <w:r w:rsidRPr="00C96048">
        <w:rPr>
          <w:rFonts w:asciiTheme="majorHAnsi" w:hAnsiTheme="majorHAnsi"/>
        </w:rPr>
        <w:t>. IHS must complete reports within 180 days of enactment of the Omnibus (prior to mid-August).</w:t>
      </w:r>
    </w:p>
    <w:p w14:paraId="1E6268E5" w14:textId="77777777" w:rsidR="00C56A69" w:rsidRPr="00C96048" w:rsidRDefault="00C56A69">
      <w:pPr>
        <w:rPr>
          <w:rFonts w:asciiTheme="majorHAnsi" w:hAnsiTheme="majorHAnsi"/>
        </w:rPr>
      </w:pPr>
      <w:bookmarkStart w:id="0" w:name="_GoBack"/>
      <w:bookmarkEnd w:id="0"/>
    </w:p>
    <w:sectPr w:rsidR="00C56A69" w:rsidRPr="00C96048" w:rsidSect="00FB611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AFF7F" w14:textId="77777777" w:rsidR="00BA6108" w:rsidRDefault="00BA6108" w:rsidP="009C0DA9">
      <w:r>
        <w:separator/>
      </w:r>
    </w:p>
  </w:endnote>
  <w:endnote w:type="continuationSeparator" w:id="0">
    <w:p w14:paraId="2924899F" w14:textId="77777777" w:rsidR="00BA6108" w:rsidRDefault="00BA6108" w:rsidP="009C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D356" w14:textId="77777777" w:rsidR="00BA6108" w:rsidRDefault="00BA6108" w:rsidP="005C0C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52D26" w14:textId="77777777" w:rsidR="00BA6108" w:rsidRDefault="00BA61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3BFC" w14:textId="77777777" w:rsidR="00BA6108" w:rsidRDefault="00BA6108" w:rsidP="005C0C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048">
      <w:rPr>
        <w:rStyle w:val="PageNumber"/>
        <w:noProof/>
      </w:rPr>
      <w:t>1</w:t>
    </w:r>
    <w:r>
      <w:rPr>
        <w:rStyle w:val="PageNumber"/>
      </w:rPr>
      <w:fldChar w:fldCharType="end"/>
    </w:r>
  </w:p>
  <w:p w14:paraId="7A7056AE" w14:textId="77777777" w:rsidR="00BA6108" w:rsidRDefault="00BA61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797D" w14:textId="77777777" w:rsidR="00BA6108" w:rsidRDefault="00BA6108" w:rsidP="009C0DA9">
      <w:r>
        <w:separator/>
      </w:r>
    </w:p>
  </w:footnote>
  <w:footnote w:type="continuationSeparator" w:id="0">
    <w:p w14:paraId="1F7C58EF" w14:textId="77777777" w:rsidR="00BA6108" w:rsidRDefault="00BA6108" w:rsidP="009C0D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A306B"/>
    <w:multiLevelType w:val="hybridMultilevel"/>
    <w:tmpl w:val="2F56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00A5E"/>
    <w:multiLevelType w:val="hybridMultilevel"/>
    <w:tmpl w:val="D21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69"/>
    <w:rsid w:val="000130E8"/>
    <w:rsid w:val="000A3422"/>
    <w:rsid w:val="000C139E"/>
    <w:rsid w:val="000F78B3"/>
    <w:rsid w:val="001433EB"/>
    <w:rsid w:val="00144E14"/>
    <w:rsid w:val="00216190"/>
    <w:rsid w:val="00234DF5"/>
    <w:rsid w:val="00242E4B"/>
    <w:rsid w:val="00305B80"/>
    <w:rsid w:val="00356E20"/>
    <w:rsid w:val="003601E0"/>
    <w:rsid w:val="003764C3"/>
    <w:rsid w:val="003D24E5"/>
    <w:rsid w:val="004122A8"/>
    <w:rsid w:val="00476478"/>
    <w:rsid w:val="00495301"/>
    <w:rsid w:val="004C456D"/>
    <w:rsid w:val="004F6740"/>
    <w:rsid w:val="00506F16"/>
    <w:rsid w:val="005A2A20"/>
    <w:rsid w:val="005C0CCB"/>
    <w:rsid w:val="00612910"/>
    <w:rsid w:val="006661F9"/>
    <w:rsid w:val="006922FB"/>
    <w:rsid w:val="006D18CF"/>
    <w:rsid w:val="00716666"/>
    <w:rsid w:val="007F19F8"/>
    <w:rsid w:val="007F73CA"/>
    <w:rsid w:val="0085788A"/>
    <w:rsid w:val="008739A9"/>
    <w:rsid w:val="008B6F24"/>
    <w:rsid w:val="008C0C88"/>
    <w:rsid w:val="008C73E6"/>
    <w:rsid w:val="009032A5"/>
    <w:rsid w:val="0090363E"/>
    <w:rsid w:val="00935A2E"/>
    <w:rsid w:val="009C0DA9"/>
    <w:rsid w:val="00A60DDA"/>
    <w:rsid w:val="00A75643"/>
    <w:rsid w:val="00A93AB8"/>
    <w:rsid w:val="00AC57B9"/>
    <w:rsid w:val="00AE3004"/>
    <w:rsid w:val="00B67547"/>
    <w:rsid w:val="00BA6108"/>
    <w:rsid w:val="00BB272A"/>
    <w:rsid w:val="00BC079A"/>
    <w:rsid w:val="00BF787A"/>
    <w:rsid w:val="00C00789"/>
    <w:rsid w:val="00C05A30"/>
    <w:rsid w:val="00C117A6"/>
    <w:rsid w:val="00C16FC2"/>
    <w:rsid w:val="00C56A69"/>
    <w:rsid w:val="00C96048"/>
    <w:rsid w:val="00CA6449"/>
    <w:rsid w:val="00CD21B4"/>
    <w:rsid w:val="00CE563C"/>
    <w:rsid w:val="00D01966"/>
    <w:rsid w:val="00DA46B9"/>
    <w:rsid w:val="00E176EB"/>
    <w:rsid w:val="00E35626"/>
    <w:rsid w:val="00E70563"/>
    <w:rsid w:val="00E80AB1"/>
    <w:rsid w:val="00E869A5"/>
    <w:rsid w:val="00EF1688"/>
    <w:rsid w:val="00F02B6A"/>
    <w:rsid w:val="00F44EBA"/>
    <w:rsid w:val="00F463E6"/>
    <w:rsid w:val="00F75DD8"/>
    <w:rsid w:val="00FB6117"/>
    <w:rsid w:val="00FE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58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20"/>
    <w:pPr>
      <w:ind w:left="720"/>
      <w:contextualSpacing/>
    </w:pPr>
  </w:style>
  <w:style w:type="paragraph" w:styleId="Footer">
    <w:name w:val="footer"/>
    <w:basedOn w:val="Normal"/>
    <w:link w:val="FooterChar"/>
    <w:uiPriority w:val="99"/>
    <w:unhideWhenUsed/>
    <w:rsid w:val="009C0DA9"/>
    <w:pPr>
      <w:tabs>
        <w:tab w:val="center" w:pos="4320"/>
        <w:tab w:val="right" w:pos="8640"/>
      </w:tabs>
    </w:pPr>
  </w:style>
  <w:style w:type="character" w:customStyle="1" w:styleId="FooterChar">
    <w:name w:val="Footer Char"/>
    <w:basedOn w:val="DefaultParagraphFont"/>
    <w:link w:val="Footer"/>
    <w:uiPriority w:val="99"/>
    <w:rsid w:val="009C0DA9"/>
  </w:style>
  <w:style w:type="character" w:styleId="PageNumber">
    <w:name w:val="page number"/>
    <w:basedOn w:val="DefaultParagraphFont"/>
    <w:uiPriority w:val="99"/>
    <w:semiHidden/>
    <w:unhideWhenUsed/>
    <w:rsid w:val="009C0DA9"/>
  </w:style>
  <w:style w:type="paragraph" w:styleId="BodyText">
    <w:name w:val="Body Text"/>
    <w:basedOn w:val="Normal"/>
    <w:link w:val="BodyTextChar"/>
    <w:uiPriority w:val="1"/>
    <w:qFormat/>
    <w:rsid w:val="00E176EB"/>
    <w:pPr>
      <w:widowControl w:val="0"/>
      <w:ind w:left="100"/>
    </w:pPr>
    <w:rPr>
      <w:rFonts w:ascii="Arial" w:eastAsia="Arial" w:hAnsi="Arial"/>
      <w:sz w:val="20"/>
      <w:szCs w:val="20"/>
    </w:rPr>
  </w:style>
  <w:style w:type="character" w:customStyle="1" w:styleId="BodyTextChar">
    <w:name w:val="Body Text Char"/>
    <w:basedOn w:val="DefaultParagraphFont"/>
    <w:link w:val="BodyText"/>
    <w:uiPriority w:val="1"/>
    <w:rsid w:val="00E176EB"/>
    <w:rPr>
      <w:rFonts w:ascii="Arial" w:eastAsia="Arial" w:hAnsi="Arial"/>
      <w:sz w:val="20"/>
      <w:szCs w:val="20"/>
    </w:rPr>
  </w:style>
  <w:style w:type="paragraph" w:customStyle="1" w:styleId="Default">
    <w:name w:val="Default"/>
    <w:rsid w:val="00E176EB"/>
    <w:pPr>
      <w:autoSpaceDE w:val="0"/>
      <w:autoSpaceDN w:val="0"/>
      <w:adjustRightInd w:val="0"/>
    </w:pPr>
    <w:rPr>
      <w:rFonts w:ascii="Times New Roman" w:eastAsiaTheme="minorHAnsi" w:hAnsi="Times New Roman" w:cs="Times New Roman"/>
      <w:color w:val="000000"/>
    </w:rPr>
  </w:style>
  <w:style w:type="paragraph" w:styleId="NoSpacing">
    <w:name w:val="No Spacing"/>
    <w:uiPriority w:val="1"/>
    <w:qFormat/>
    <w:rsid w:val="006661F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20"/>
    <w:pPr>
      <w:ind w:left="720"/>
      <w:contextualSpacing/>
    </w:pPr>
  </w:style>
  <w:style w:type="paragraph" w:styleId="Footer">
    <w:name w:val="footer"/>
    <w:basedOn w:val="Normal"/>
    <w:link w:val="FooterChar"/>
    <w:uiPriority w:val="99"/>
    <w:unhideWhenUsed/>
    <w:rsid w:val="009C0DA9"/>
    <w:pPr>
      <w:tabs>
        <w:tab w:val="center" w:pos="4320"/>
        <w:tab w:val="right" w:pos="8640"/>
      </w:tabs>
    </w:pPr>
  </w:style>
  <w:style w:type="character" w:customStyle="1" w:styleId="FooterChar">
    <w:name w:val="Footer Char"/>
    <w:basedOn w:val="DefaultParagraphFont"/>
    <w:link w:val="Footer"/>
    <w:uiPriority w:val="99"/>
    <w:rsid w:val="009C0DA9"/>
  </w:style>
  <w:style w:type="character" w:styleId="PageNumber">
    <w:name w:val="page number"/>
    <w:basedOn w:val="DefaultParagraphFont"/>
    <w:uiPriority w:val="99"/>
    <w:semiHidden/>
    <w:unhideWhenUsed/>
    <w:rsid w:val="009C0DA9"/>
  </w:style>
  <w:style w:type="paragraph" w:styleId="BodyText">
    <w:name w:val="Body Text"/>
    <w:basedOn w:val="Normal"/>
    <w:link w:val="BodyTextChar"/>
    <w:uiPriority w:val="1"/>
    <w:qFormat/>
    <w:rsid w:val="00E176EB"/>
    <w:pPr>
      <w:widowControl w:val="0"/>
      <w:ind w:left="100"/>
    </w:pPr>
    <w:rPr>
      <w:rFonts w:ascii="Arial" w:eastAsia="Arial" w:hAnsi="Arial"/>
      <w:sz w:val="20"/>
      <w:szCs w:val="20"/>
    </w:rPr>
  </w:style>
  <w:style w:type="character" w:customStyle="1" w:styleId="BodyTextChar">
    <w:name w:val="Body Text Char"/>
    <w:basedOn w:val="DefaultParagraphFont"/>
    <w:link w:val="BodyText"/>
    <w:uiPriority w:val="1"/>
    <w:rsid w:val="00E176EB"/>
    <w:rPr>
      <w:rFonts w:ascii="Arial" w:eastAsia="Arial" w:hAnsi="Arial"/>
      <w:sz w:val="20"/>
      <w:szCs w:val="20"/>
    </w:rPr>
  </w:style>
  <w:style w:type="paragraph" w:customStyle="1" w:styleId="Default">
    <w:name w:val="Default"/>
    <w:rsid w:val="00E176EB"/>
    <w:pPr>
      <w:autoSpaceDE w:val="0"/>
      <w:autoSpaceDN w:val="0"/>
      <w:adjustRightInd w:val="0"/>
    </w:pPr>
    <w:rPr>
      <w:rFonts w:ascii="Times New Roman" w:eastAsiaTheme="minorHAnsi" w:hAnsi="Times New Roman" w:cs="Times New Roman"/>
      <w:color w:val="000000"/>
    </w:rPr>
  </w:style>
  <w:style w:type="paragraph" w:styleId="NoSpacing">
    <w:name w:val="No Spacing"/>
    <w:uiPriority w:val="1"/>
    <w:qFormat/>
    <w:rsid w:val="006661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36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691</Words>
  <Characters>3943</Characters>
  <Application>Microsoft Macintosh Word</Application>
  <DocSecurity>0</DocSecurity>
  <Lines>32</Lines>
  <Paragraphs>9</Paragraphs>
  <ScaleCrop>false</ScaleCrop>
  <Company>NPAIHB</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Finkbonner</dc:creator>
  <cp:keywords/>
  <dc:description/>
  <cp:lastModifiedBy>Laura Platero</cp:lastModifiedBy>
  <cp:revision>10</cp:revision>
  <cp:lastPrinted>2019-04-18T00:29:00Z</cp:lastPrinted>
  <dcterms:created xsi:type="dcterms:W3CDTF">2019-04-17T23:41:00Z</dcterms:created>
  <dcterms:modified xsi:type="dcterms:W3CDTF">2019-04-18T16:23:00Z</dcterms:modified>
</cp:coreProperties>
</file>