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15" w:rsidRDefault="00EC5C15" w:rsidP="00EC5C15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-152400</wp:posOffset>
            </wp:positionV>
            <wp:extent cx="1152525" cy="1200150"/>
            <wp:effectExtent l="19050" t="0" r="9525" b="0"/>
            <wp:wrapNone/>
            <wp:docPr id="2" name="Picture 2" descr="blacklogotranspar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logotransparent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-57150</wp:posOffset>
            </wp:positionV>
            <wp:extent cx="1019175" cy="1009650"/>
            <wp:effectExtent l="19050" t="19050" r="2857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5C15" w:rsidRDefault="00EC5C15" w:rsidP="00EC5C15">
      <w:pPr>
        <w:rPr>
          <w:b/>
          <w:sz w:val="22"/>
        </w:rPr>
      </w:pPr>
    </w:p>
    <w:p w:rsidR="00EC5C15" w:rsidRDefault="00EC5C15" w:rsidP="00EC5C15">
      <w:pPr>
        <w:ind w:firstLine="720"/>
        <w:rPr>
          <w:b/>
          <w:sz w:val="22"/>
        </w:rPr>
      </w:pPr>
    </w:p>
    <w:p w:rsidR="00EC5C15" w:rsidRDefault="00EC5C15" w:rsidP="00EC5C15">
      <w:pPr>
        <w:ind w:firstLine="720"/>
        <w:rPr>
          <w:b/>
          <w:sz w:val="22"/>
        </w:rPr>
      </w:pPr>
    </w:p>
    <w:p w:rsidR="00EC5C15" w:rsidRDefault="00EC5C15" w:rsidP="00EC5C15">
      <w:pPr>
        <w:ind w:firstLine="720"/>
        <w:rPr>
          <w:b/>
          <w:sz w:val="22"/>
        </w:rPr>
      </w:pPr>
    </w:p>
    <w:p w:rsidR="00EC5C15" w:rsidRDefault="00EC5C15" w:rsidP="00EC5C15">
      <w:pPr>
        <w:ind w:firstLine="720"/>
        <w:rPr>
          <w:b/>
          <w:sz w:val="22"/>
        </w:rPr>
      </w:pPr>
    </w:p>
    <w:p w:rsidR="00EC5C15" w:rsidRDefault="00EC5C15" w:rsidP="00EC5C15">
      <w:pPr>
        <w:ind w:firstLine="720"/>
        <w:rPr>
          <w:b/>
          <w:sz w:val="22"/>
        </w:rPr>
      </w:pPr>
    </w:p>
    <w:p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 xml:space="preserve">RESOLUTION #                             </w:t>
      </w:r>
      <w:r w:rsidR="00B50F46">
        <w:rPr>
          <w:b/>
          <w:sz w:val="22"/>
        </w:rPr>
        <w:tab/>
      </w:r>
      <w:r>
        <w:rPr>
          <w:b/>
          <w:sz w:val="22"/>
        </w:rPr>
        <w:t xml:space="preserve">     </w:t>
      </w:r>
      <w:r>
        <w:rPr>
          <w:b/>
          <w:sz w:val="22"/>
        </w:rPr>
        <w:tab/>
      </w:r>
      <w:r w:rsidR="004D3B0F">
        <w:rPr>
          <w:b/>
          <w:sz w:val="22"/>
        </w:rPr>
        <w:tab/>
      </w:r>
      <w:r>
        <w:rPr>
          <w:b/>
          <w:sz w:val="22"/>
        </w:rPr>
        <w:t>RESOLUTION #</w:t>
      </w:r>
      <w:r w:rsidR="009E22EC">
        <w:rPr>
          <w:b/>
          <w:sz w:val="22"/>
        </w:rPr>
        <w:t xml:space="preserve"> </w:t>
      </w:r>
    </w:p>
    <w:p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>NORTHWEST PORTLAND AREA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CALIFORNIA RURAL INDIAN</w:t>
      </w:r>
    </w:p>
    <w:p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>INDIAN HEALTH BOARD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HEALTH BOARD</w:t>
      </w:r>
    </w:p>
    <w:p w:rsidR="00EC5C15" w:rsidRDefault="00EC5C15" w:rsidP="00EC5C15">
      <w:pPr>
        <w:rPr>
          <w:b/>
        </w:rPr>
      </w:pPr>
    </w:p>
    <w:p w:rsidR="00EC5C15" w:rsidRPr="00F14F3C" w:rsidRDefault="00EC5C15" w:rsidP="00EC5C15">
      <w:pPr>
        <w:jc w:val="center"/>
        <w:rPr>
          <w:rFonts w:ascii="Arial" w:hAnsi="Arial" w:cs="Arial"/>
          <w:b/>
          <w:u w:val="single"/>
        </w:rPr>
      </w:pPr>
      <w:r w:rsidRPr="00F14F3C">
        <w:rPr>
          <w:rFonts w:ascii="Arial" w:hAnsi="Arial" w:cs="Arial"/>
          <w:b/>
          <w:u w:val="single"/>
        </w:rPr>
        <w:t>JOINT RESOLUTION</w:t>
      </w:r>
    </w:p>
    <w:p w:rsidR="00275A56" w:rsidRPr="00984E76" w:rsidRDefault="00E33D22" w:rsidP="00984E76">
      <w:pPr>
        <w:pStyle w:val="BodyText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</w:rPr>
        <w:t>Recommendations to Congress to Obtain Additional Data on IHS Health Care Facilities Construction Funding and Distribution Methodologies</w:t>
      </w:r>
    </w:p>
    <w:p w:rsidR="00EC5C15" w:rsidRPr="00F9665B" w:rsidRDefault="00EC5C15" w:rsidP="00EC5C15">
      <w:pPr>
        <w:rPr>
          <w:rFonts w:ascii="Arial" w:hAnsi="Arial" w:cs="Arial"/>
          <w:sz w:val="22"/>
          <w:szCs w:val="22"/>
        </w:rPr>
      </w:pPr>
    </w:p>
    <w:p w:rsidR="00EC5C15" w:rsidRPr="000F14D9" w:rsidRDefault="00EC5C15" w:rsidP="00C54ECB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ab/>
        <w:t xml:space="preserve">the Northwest Portland Area Indian Health Board (NPAIHB) is a </w:t>
      </w:r>
      <w:r w:rsidR="00240CF9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organization under </w:t>
      </w:r>
      <w:r w:rsidR="00240CF9">
        <w:rPr>
          <w:rFonts w:ascii="Arial" w:hAnsi="Arial" w:cs="Arial"/>
          <w:sz w:val="22"/>
          <w:szCs w:val="22"/>
        </w:rPr>
        <w:t>P.L. 93-638 that represents 43 f</w:t>
      </w:r>
      <w:r w:rsidRPr="000F14D9">
        <w:rPr>
          <w:rFonts w:ascii="Arial" w:hAnsi="Arial" w:cs="Arial"/>
          <w:sz w:val="22"/>
          <w:szCs w:val="22"/>
        </w:rPr>
        <w:t>ederally-recognized Indian tribes in Oregon, Washington</w:t>
      </w:r>
      <w:r w:rsidR="00240CF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 xml:space="preserve"> and Idaho and is dedicated to assisting and promoting the health needs and concerns of </w:t>
      </w:r>
      <w:r w:rsidR="00240CF9">
        <w:rPr>
          <w:rFonts w:ascii="Arial" w:hAnsi="Arial" w:cs="Arial"/>
          <w:sz w:val="22"/>
          <w:szCs w:val="22"/>
        </w:rPr>
        <w:t xml:space="preserve">American </w:t>
      </w:r>
      <w:r w:rsidRPr="000F14D9">
        <w:rPr>
          <w:rFonts w:ascii="Arial" w:hAnsi="Arial" w:cs="Arial"/>
          <w:sz w:val="22"/>
          <w:szCs w:val="22"/>
        </w:rPr>
        <w:t>Indian</w:t>
      </w:r>
      <w:r w:rsidR="00240CF9">
        <w:rPr>
          <w:rFonts w:ascii="Arial" w:hAnsi="Arial" w:cs="Arial"/>
          <w:sz w:val="22"/>
          <w:szCs w:val="22"/>
        </w:rPr>
        <w:t>/Alaska Native (AI/AN)</w:t>
      </w:r>
      <w:r w:rsidRPr="000F14D9">
        <w:rPr>
          <w:rFonts w:ascii="Arial" w:hAnsi="Arial" w:cs="Arial"/>
          <w:sz w:val="22"/>
          <w:szCs w:val="22"/>
        </w:rPr>
        <w:t xml:space="preserve"> people in the Northwest;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:rsidR="00EC5C15" w:rsidRPr="000F14D9" w:rsidRDefault="00EC5C15" w:rsidP="00C54ECB">
      <w:pPr>
        <w:rPr>
          <w:rFonts w:ascii="Arial" w:hAnsi="Arial" w:cs="Arial"/>
          <w:sz w:val="22"/>
          <w:szCs w:val="22"/>
        </w:rPr>
      </w:pPr>
    </w:p>
    <w:p w:rsidR="00EC5C15" w:rsidRDefault="00EC5C15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>the California Rural Indian Health Board, Inc. (CRIHB), founded in 1969 for the purpose of bringing back health se</w:t>
      </w:r>
      <w:r w:rsidR="00BC6DAB" w:rsidRPr="000F14D9">
        <w:rPr>
          <w:rFonts w:ascii="Arial" w:hAnsi="Arial" w:cs="Arial"/>
          <w:sz w:val="22"/>
          <w:szCs w:val="22"/>
        </w:rPr>
        <w:t>rvices to Indians of California,</w:t>
      </w:r>
      <w:r w:rsidRPr="000F14D9">
        <w:rPr>
          <w:rFonts w:ascii="Arial" w:hAnsi="Arial" w:cs="Arial"/>
          <w:sz w:val="22"/>
          <w:szCs w:val="22"/>
        </w:rPr>
        <w:t xml:space="preserve"> is a </w:t>
      </w:r>
      <w:r w:rsidR="00240CF9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organization in acc</w:t>
      </w:r>
      <w:r w:rsidR="00811DB4">
        <w:rPr>
          <w:rFonts w:ascii="Arial" w:hAnsi="Arial" w:cs="Arial"/>
          <w:sz w:val="22"/>
          <w:szCs w:val="22"/>
        </w:rPr>
        <w:t>ordance with P.L.</w:t>
      </w:r>
      <w:r w:rsidR="00BC6DAB" w:rsidRPr="000F14D9">
        <w:rPr>
          <w:rFonts w:ascii="Arial" w:hAnsi="Arial" w:cs="Arial"/>
          <w:sz w:val="22"/>
          <w:szCs w:val="22"/>
        </w:rPr>
        <w:t xml:space="preserve"> 93-638 and </w:t>
      </w:r>
      <w:r w:rsidRPr="000F14D9">
        <w:rPr>
          <w:rFonts w:ascii="Arial" w:hAnsi="Arial" w:cs="Arial"/>
          <w:sz w:val="22"/>
          <w:szCs w:val="22"/>
        </w:rPr>
        <w:t xml:space="preserve">is a statewide </w:t>
      </w:r>
      <w:r w:rsidR="00240CF9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health organization representing </w:t>
      </w:r>
      <w:r w:rsidR="00EF22FE">
        <w:rPr>
          <w:rFonts w:ascii="Arial" w:hAnsi="Arial" w:cs="Arial"/>
          <w:sz w:val="22"/>
          <w:szCs w:val="22"/>
        </w:rPr>
        <w:t>3</w:t>
      </w:r>
      <w:r w:rsidR="00F955A7">
        <w:rPr>
          <w:rFonts w:ascii="Arial" w:hAnsi="Arial" w:cs="Arial"/>
          <w:sz w:val="22"/>
          <w:szCs w:val="22"/>
        </w:rPr>
        <w:t>3</w:t>
      </w:r>
      <w:r w:rsidR="00240CF9">
        <w:rPr>
          <w:rFonts w:ascii="Arial" w:hAnsi="Arial" w:cs="Arial"/>
          <w:sz w:val="22"/>
          <w:szCs w:val="22"/>
        </w:rPr>
        <w:t xml:space="preserve"> f</w:t>
      </w:r>
      <w:r w:rsidRPr="000F14D9">
        <w:rPr>
          <w:rFonts w:ascii="Arial" w:hAnsi="Arial" w:cs="Arial"/>
          <w:sz w:val="22"/>
          <w:szCs w:val="22"/>
        </w:rPr>
        <w:t xml:space="preserve">ederally recognized tribes in </w:t>
      </w:r>
      <w:r w:rsidR="00F955A7">
        <w:rPr>
          <w:rFonts w:ascii="Arial" w:hAnsi="Arial" w:cs="Arial"/>
          <w:sz w:val="22"/>
          <w:szCs w:val="22"/>
        </w:rPr>
        <w:t>14</w:t>
      </w:r>
      <w:r w:rsidRPr="000F14D9">
        <w:rPr>
          <w:rFonts w:ascii="Arial" w:hAnsi="Arial" w:cs="Arial"/>
          <w:sz w:val="22"/>
          <w:szCs w:val="22"/>
        </w:rPr>
        <w:t xml:space="preserve"> counties through its membership of </w:t>
      </w:r>
      <w:r w:rsidRPr="00EF22FE">
        <w:rPr>
          <w:rFonts w:ascii="Arial" w:hAnsi="Arial" w:cs="Arial"/>
          <w:sz w:val="22"/>
          <w:szCs w:val="22"/>
        </w:rPr>
        <w:t>1</w:t>
      </w:r>
      <w:r w:rsidR="00F955A7">
        <w:rPr>
          <w:rFonts w:ascii="Arial" w:hAnsi="Arial" w:cs="Arial"/>
          <w:sz w:val="22"/>
          <w:szCs w:val="22"/>
        </w:rPr>
        <w:t>2</w:t>
      </w:r>
      <w:r w:rsidR="00BC6DAB" w:rsidRPr="000F14D9">
        <w:rPr>
          <w:rFonts w:ascii="Arial" w:hAnsi="Arial" w:cs="Arial"/>
          <w:sz w:val="22"/>
          <w:szCs w:val="22"/>
        </w:rPr>
        <w:t xml:space="preserve"> </w:t>
      </w:r>
      <w:r w:rsidR="00240CF9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Health Programs throughout California’s Indian Country;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:rsidR="00C54ECB" w:rsidRDefault="00C54ECB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C54ECB" w:rsidRPr="000F14D9" w:rsidRDefault="00C54ECB" w:rsidP="00C54ECB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 xml:space="preserve">the NPAIHB and CRIHB are dedicated to assisting and promoting the health needs and concerns of </w:t>
      </w:r>
      <w:r w:rsidR="00240CF9">
        <w:rPr>
          <w:rFonts w:ascii="Arial" w:hAnsi="Arial" w:cs="Arial"/>
          <w:sz w:val="22"/>
          <w:szCs w:val="22"/>
        </w:rPr>
        <w:t>AI/AN</w:t>
      </w:r>
      <w:r w:rsidRPr="000F14D9">
        <w:rPr>
          <w:rFonts w:ascii="Arial" w:hAnsi="Arial" w:cs="Arial"/>
          <w:sz w:val="22"/>
          <w:szCs w:val="22"/>
        </w:rPr>
        <w:t xml:space="preserve"> people</w:t>
      </w:r>
      <w:r w:rsidRPr="00513C77">
        <w:rPr>
          <w:rFonts w:ascii="Arial" w:hAnsi="Arial" w:cs="Arial"/>
          <w:sz w:val="22"/>
          <w:szCs w:val="22"/>
        </w:rPr>
        <w:t xml:space="preserve">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:rsidR="00C54ECB" w:rsidRPr="000F14D9" w:rsidRDefault="00C54ECB" w:rsidP="00C54ECB">
      <w:pPr>
        <w:jc w:val="both"/>
        <w:rPr>
          <w:rFonts w:ascii="Arial" w:hAnsi="Arial" w:cs="Arial"/>
          <w:sz w:val="22"/>
          <w:szCs w:val="22"/>
        </w:rPr>
      </w:pPr>
    </w:p>
    <w:p w:rsidR="00C54ECB" w:rsidRPr="000F14D9" w:rsidRDefault="00C54ECB" w:rsidP="00C54EC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ab/>
        <w:t>the primary goal of the NPAIHB and CRIHB is to improve the health and</w:t>
      </w:r>
      <w:r w:rsidR="00240CF9">
        <w:rPr>
          <w:rFonts w:ascii="Arial" w:hAnsi="Arial" w:cs="Arial"/>
          <w:sz w:val="22"/>
          <w:szCs w:val="22"/>
        </w:rPr>
        <w:t xml:space="preserve"> quality of life of its member T</w:t>
      </w:r>
      <w:r w:rsidRPr="000F14D9">
        <w:rPr>
          <w:rFonts w:ascii="Arial" w:hAnsi="Arial" w:cs="Arial"/>
          <w:sz w:val="22"/>
          <w:szCs w:val="22"/>
        </w:rPr>
        <w:t xml:space="preserve">ribes;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:rsidR="00C54ECB" w:rsidRPr="000F14D9" w:rsidRDefault="00C54ECB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084036" w:rsidRDefault="00B615D9" w:rsidP="0060797B">
      <w:pPr>
        <w:ind w:left="1440" w:hanging="1440"/>
        <w:rPr>
          <w:sz w:val="23"/>
          <w:szCs w:val="23"/>
        </w:rPr>
      </w:pPr>
      <w:r w:rsidRPr="00B615D9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HEREAS</w:t>
      </w:r>
      <w:r w:rsidRPr="00B615D9">
        <w:rPr>
          <w:rFonts w:ascii="Arial" w:hAnsi="Arial" w:cs="Arial"/>
          <w:b/>
          <w:sz w:val="22"/>
          <w:szCs w:val="22"/>
        </w:rPr>
        <w:t>,</w:t>
      </w:r>
      <w:r w:rsidRPr="00B61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84036" w:rsidRPr="002E6299">
        <w:rPr>
          <w:rFonts w:ascii="Arial" w:hAnsi="Arial" w:cs="Arial"/>
          <w:sz w:val="22"/>
          <w:szCs w:val="22"/>
        </w:rPr>
        <w:t>the Indian Health Care Improvement Act (IHCIA)</w:t>
      </w:r>
      <w:r w:rsidR="00CC21EA">
        <w:rPr>
          <w:rFonts w:ascii="Arial" w:hAnsi="Arial" w:cs="Arial"/>
          <w:sz w:val="22"/>
          <w:szCs w:val="22"/>
        </w:rPr>
        <w:t xml:space="preserve"> </w:t>
      </w:r>
      <w:r w:rsidR="00CC21EA" w:rsidRPr="00CC21EA">
        <w:rPr>
          <w:rFonts w:ascii="Arial" w:hAnsi="Arial" w:cs="Arial"/>
          <w:sz w:val="22"/>
          <w:szCs w:val="22"/>
        </w:rPr>
        <w:t>is the legislative embodiment of the federal trust and treaty responsibilities to American Indian and Alas</w:t>
      </w:r>
      <w:r w:rsidR="00CC21EA">
        <w:rPr>
          <w:rFonts w:ascii="Arial" w:hAnsi="Arial" w:cs="Arial"/>
          <w:sz w:val="22"/>
          <w:szCs w:val="22"/>
        </w:rPr>
        <w:t>ka Native</w:t>
      </w:r>
      <w:r w:rsidR="00240CF9">
        <w:rPr>
          <w:rFonts w:ascii="Arial" w:hAnsi="Arial" w:cs="Arial"/>
          <w:sz w:val="22"/>
          <w:szCs w:val="22"/>
        </w:rPr>
        <w:t>s</w:t>
      </w:r>
      <w:r w:rsidR="00EE7664">
        <w:rPr>
          <w:rFonts w:ascii="Arial" w:hAnsi="Arial" w:cs="Arial"/>
          <w:sz w:val="22"/>
          <w:szCs w:val="22"/>
        </w:rPr>
        <w:t xml:space="preserve"> (AI/AN)</w:t>
      </w:r>
      <w:r w:rsidR="00240CF9">
        <w:rPr>
          <w:rFonts w:ascii="Arial" w:hAnsi="Arial" w:cs="Arial"/>
          <w:sz w:val="22"/>
          <w:szCs w:val="22"/>
        </w:rPr>
        <w:t xml:space="preserve"> </w:t>
      </w:r>
      <w:r w:rsidR="00CC21EA">
        <w:rPr>
          <w:rFonts w:ascii="Arial" w:hAnsi="Arial" w:cs="Arial"/>
          <w:sz w:val="22"/>
          <w:szCs w:val="22"/>
        </w:rPr>
        <w:t>for healthcare</w:t>
      </w:r>
      <w:r w:rsidR="00084036" w:rsidRPr="002E6299">
        <w:rPr>
          <w:rFonts w:ascii="Arial" w:hAnsi="Arial" w:cs="Arial"/>
          <w:sz w:val="22"/>
          <w:szCs w:val="22"/>
        </w:rPr>
        <w:t xml:space="preserve">; </w:t>
      </w:r>
      <w:r w:rsidR="00084036" w:rsidRPr="002E6299">
        <w:rPr>
          <w:rFonts w:ascii="Arial" w:hAnsi="Arial" w:cs="Arial"/>
          <w:b/>
          <w:sz w:val="22"/>
          <w:szCs w:val="22"/>
        </w:rPr>
        <w:t>AND</w:t>
      </w:r>
      <w:r w:rsidR="00084036" w:rsidRPr="002E6299">
        <w:rPr>
          <w:rFonts w:ascii="Arial" w:hAnsi="Arial" w:cs="Arial"/>
          <w:sz w:val="22"/>
          <w:szCs w:val="22"/>
        </w:rPr>
        <w:t xml:space="preserve"> </w:t>
      </w:r>
    </w:p>
    <w:p w:rsidR="00856F7D" w:rsidRDefault="00856F7D" w:rsidP="0060797B">
      <w:pPr>
        <w:ind w:left="1440" w:hanging="1440"/>
        <w:rPr>
          <w:rFonts w:ascii="Arial" w:hAnsi="Arial" w:cs="Arial"/>
          <w:sz w:val="22"/>
          <w:szCs w:val="22"/>
        </w:rPr>
      </w:pPr>
    </w:p>
    <w:p w:rsidR="0011237E" w:rsidRDefault="00856F7D" w:rsidP="0060797B">
      <w:pPr>
        <w:ind w:left="1440" w:hanging="1440"/>
        <w:rPr>
          <w:rFonts w:ascii="Arial" w:hAnsi="Arial" w:cs="Arial"/>
          <w:sz w:val="22"/>
          <w:szCs w:val="22"/>
        </w:rPr>
      </w:pPr>
      <w:r w:rsidRPr="00856F7D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 w:rsidR="00084036">
        <w:rPr>
          <w:rFonts w:ascii="Arial" w:hAnsi="Arial" w:cs="Arial"/>
          <w:sz w:val="22"/>
          <w:szCs w:val="22"/>
        </w:rPr>
        <w:t>t</w:t>
      </w:r>
      <w:r w:rsidR="0060797B" w:rsidRPr="0060797B">
        <w:rPr>
          <w:rFonts w:ascii="Arial" w:hAnsi="Arial" w:cs="Arial"/>
          <w:sz w:val="22"/>
          <w:szCs w:val="22"/>
        </w:rPr>
        <w:t>h</w:t>
      </w:r>
      <w:r w:rsidR="0060797B">
        <w:rPr>
          <w:rFonts w:ascii="Arial" w:hAnsi="Arial" w:cs="Arial"/>
          <w:sz w:val="22"/>
          <w:szCs w:val="22"/>
        </w:rPr>
        <w:t xml:space="preserve">e </w:t>
      </w:r>
      <w:r w:rsidR="00084036">
        <w:rPr>
          <w:rFonts w:ascii="Arial" w:hAnsi="Arial" w:cs="Arial"/>
          <w:sz w:val="22"/>
          <w:szCs w:val="22"/>
        </w:rPr>
        <w:t>IHCIA</w:t>
      </w:r>
      <w:r w:rsidR="00CC21EA">
        <w:rPr>
          <w:rFonts w:ascii="Arial" w:hAnsi="Arial" w:cs="Arial"/>
          <w:sz w:val="22"/>
          <w:szCs w:val="22"/>
        </w:rPr>
        <w:t xml:space="preserve"> was first enacted in 1976 and then permanently enacted in 2010 as part of the  </w:t>
      </w:r>
      <w:r w:rsidR="00CC21EA" w:rsidRPr="00CC21EA">
        <w:rPr>
          <w:rFonts w:ascii="Arial" w:hAnsi="Arial" w:cs="Arial"/>
          <w:sz w:val="22"/>
          <w:szCs w:val="22"/>
        </w:rPr>
        <w:t>Patient Protection and Affordable Care Act (ACA) (P.L. 111-148)</w:t>
      </w:r>
      <w:r w:rsidR="00240CF9">
        <w:rPr>
          <w:rFonts w:ascii="Arial" w:hAnsi="Arial" w:cs="Arial"/>
          <w:sz w:val="22"/>
          <w:szCs w:val="22"/>
        </w:rPr>
        <w:t>;</w:t>
      </w:r>
      <w:r w:rsidR="0011237E">
        <w:rPr>
          <w:rFonts w:ascii="Arial" w:hAnsi="Arial" w:cs="Arial"/>
          <w:sz w:val="22"/>
          <w:szCs w:val="22"/>
        </w:rPr>
        <w:t xml:space="preserve"> </w:t>
      </w:r>
      <w:r w:rsidR="0011237E" w:rsidRPr="0011237E">
        <w:rPr>
          <w:rFonts w:ascii="Arial" w:hAnsi="Arial" w:cs="Arial"/>
          <w:b/>
          <w:sz w:val="22"/>
          <w:szCs w:val="22"/>
        </w:rPr>
        <w:t>AND</w:t>
      </w:r>
      <w:r w:rsidR="0011237E">
        <w:rPr>
          <w:rFonts w:ascii="Arial" w:hAnsi="Arial" w:cs="Arial"/>
          <w:sz w:val="22"/>
          <w:szCs w:val="22"/>
        </w:rPr>
        <w:t xml:space="preserve"> </w:t>
      </w:r>
    </w:p>
    <w:p w:rsidR="008751F5" w:rsidRDefault="008751F5" w:rsidP="008751F5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8751F5" w:rsidRDefault="008751F5" w:rsidP="008751F5">
      <w:pPr>
        <w:ind w:left="1440" w:hanging="1440"/>
        <w:rPr>
          <w:rFonts w:ascii="Arial" w:hAnsi="Arial" w:cs="Arial"/>
          <w:sz w:val="22"/>
          <w:szCs w:val="22"/>
        </w:rPr>
      </w:pPr>
      <w:r w:rsidRPr="00856F7D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 w:rsidR="00E33D22" w:rsidRPr="00E33D22">
        <w:rPr>
          <w:rFonts w:ascii="Arial" w:hAnsi="Arial" w:cs="Arial"/>
          <w:sz w:val="22"/>
          <w:szCs w:val="22"/>
        </w:rPr>
        <w:t xml:space="preserve">the </w:t>
      </w:r>
      <w:r w:rsidR="00D8614D">
        <w:rPr>
          <w:rFonts w:ascii="Arial" w:hAnsi="Arial" w:cs="Arial"/>
          <w:sz w:val="22"/>
          <w:szCs w:val="22"/>
        </w:rPr>
        <w:t xml:space="preserve">IHCIA </w:t>
      </w:r>
      <w:r w:rsidR="00E33D22" w:rsidRPr="00E33D22">
        <w:rPr>
          <w:rFonts w:ascii="Arial" w:hAnsi="Arial" w:cs="Arial"/>
          <w:sz w:val="22"/>
          <w:szCs w:val="22"/>
        </w:rPr>
        <w:t>requires the H</w:t>
      </w:r>
      <w:r w:rsidR="00240CF9">
        <w:rPr>
          <w:rFonts w:ascii="Arial" w:hAnsi="Arial" w:cs="Arial"/>
          <w:sz w:val="22"/>
          <w:szCs w:val="22"/>
        </w:rPr>
        <w:t xml:space="preserve">ealth and </w:t>
      </w:r>
      <w:r w:rsidR="00E33D22" w:rsidRPr="00E33D22">
        <w:rPr>
          <w:rFonts w:ascii="Arial" w:hAnsi="Arial" w:cs="Arial"/>
          <w:sz w:val="22"/>
          <w:szCs w:val="22"/>
        </w:rPr>
        <w:t>H</w:t>
      </w:r>
      <w:r w:rsidR="00240CF9">
        <w:rPr>
          <w:rFonts w:ascii="Arial" w:hAnsi="Arial" w:cs="Arial"/>
          <w:sz w:val="22"/>
          <w:szCs w:val="22"/>
        </w:rPr>
        <w:t xml:space="preserve">uman </w:t>
      </w:r>
      <w:r w:rsidR="00E33D22" w:rsidRPr="00E33D22">
        <w:rPr>
          <w:rFonts w:ascii="Arial" w:hAnsi="Arial" w:cs="Arial"/>
          <w:sz w:val="22"/>
          <w:szCs w:val="22"/>
        </w:rPr>
        <w:t>S</w:t>
      </w:r>
      <w:r w:rsidR="00240CF9">
        <w:rPr>
          <w:rFonts w:ascii="Arial" w:hAnsi="Arial" w:cs="Arial"/>
          <w:sz w:val="22"/>
          <w:szCs w:val="22"/>
        </w:rPr>
        <w:t>ervices (HHS)</w:t>
      </w:r>
      <w:r w:rsidR="00E33D22" w:rsidRPr="00E33D22">
        <w:rPr>
          <w:rFonts w:ascii="Arial" w:hAnsi="Arial" w:cs="Arial"/>
          <w:sz w:val="22"/>
          <w:szCs w:val="22"/>
        </w:rPr>
        <w:t xml:space="preserve"> Secretary to submit a report to Congress that describes the comprehensive, national, ranked list of all health care facilities</w:t>
      </w:r>
      <w:r w:rsidR="00E33D22">
        <w:rPr>
          <w:rFonts w:ascii="Arial" w:hAnsi="Arial" w:cs="Arial"/>
          <w:sz w:val="22"/>
          <w:szCs w:val="22"/>
        </w:rPr>
        <w:t>’</w:t>
      </w:r>
      <w:r w:rsidR="00E33D22" w:rsidRPr="00E33D22">
        <w:rPr>
          <w:rFonts w:ascii="Arial" w:hAnsi="Arial" w:cs="Arial"/>
          <w:sz w:val="22"/>
          <w:szCs w:val="22"/>
        </w:rPr>
        <w:t xml:space="preserve"> needs for the Indian Health Service (IHS), Indian Tribes, and </w:t>
      </w:r>
      <w:r w:rsidR="00240CF9">
        <w:rPr>
          <w:rFonts w:ascii="Arial" w:hAnsi="Arial" w:cs="Arial"/>
          <w:sz w:val="22"/>
          <w:szCs w:val="22"/>
        </w:rPr>
        <w:t>Tribal</w:t>
      </w:r>
      <w:r w:rsidR="00E33D22" w:rsidRPr="00E33D22">
        <w:rPr>
          <w:rFonts w:ascii="Arial" w:hAnsi="Arial" w:cs="Arial"/>
          <w:sz w:val="22"/>
          <w:szCs w:val="22"/>
        </w:rPr>
        <w:t xml:space="preserve"> Organizations carrying out health programs under the IHCIA, initially by March 23, 2011, and thereafter update the report every five years</w:t>
      </w:r>
      <w:r w:rsidR="00E33D22" w:rsidRPr="00E33D22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E33D22" w:rsidRPr="00E33D22">
        <w:rPr>
          <w:rFonts w:ascii="Arial" w:hAnsi="Arial" w:cs="Arial"/>
          <w:sz w:val="22"/>
          <w:szCs w:val="22"/>
        </w:rPr>
        <w:t xml:space="preserve">; </w:t>
      </w:r>
      <w:r w:rsidR="00E33D22" w:rsidRPr="00E33D22">
        <w:rPr>
          <w:rFonts w:ascii="Arial" w:hAnsi="Arial" w:cs="Arial"/>
          <w:b/>
          <w:sz w:val="22"/>
          <w:szCs w:val="22"/>
        </w:rPr>
        <w:t>AND</w:t>
      </w:r>
    </w:p>
    <w:p w:rsidR="0011237E" w:rsidRDefault="0011237E" w:rsidP="0060797B">
      <w:pPr>
        <w:ind w:left="1440" w:hanging="1440"/>
        <w:rPr>
          <w:rFonts w:ascii="Arial" w:hAnsi="Arial" w:cs="Arial"/>
          <w:sz w:val="22"/>
          <w:szCs w:val="22"/>
        </w:rPr>
      </w:pPr>
    </w:p>
    <w:p w:rsidR="00BE6154" w:rsidRDefault="00B615D9" w:rsidP="00BE6154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WHEREAS,</w:t>
      </w:r>
      <w:r w:rsidRPr="00B615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E33D22" w:rsidRPr="00E33D22">
        <w:rPr>
          <w:rFonts w:ascii="Arial" w:hAnsi="Arial" w:cs="Arial"/>
          <w:sz w:val="22"/>
          <w:szCs w:val="22"/>
        </w:rPr>
        <w:t xml:space="preserve">the IHCIA also requires the IHS to maintain a health care facility priority system which is to be developed in consultation with Indian Tribes and </w:t>
      </w:r>
      <w:r w:rsidR="00240CF9">
        <w:rPr>
          <w:rFonts w:ascii="Arial" w:hAnsi="Arial" w:cs="Arial"/>
          <w:sz w:val="22"/>
          <w:szCs w:val="22"/>
        </w:rPr>
        <w:t>Tribal</w:t>
      </w:r>
      <w:r w:rsidR="00E33D22" w:rsidRPr="00E33D22">
        <w:rPr>
          <w:rFonts w:ascii="Arial" w:hAnsi="Arial" w:cs="Arial"/>
          <w:sz w:val="22"/>
          <w:szCs w:val="22"/>
        </w:rPr>
        <w:t xml:space="preserve"> Organizations and serve as the basis for the HHS Secretary to submit the above referenced report to Congress</w:t>
      </w:r>
      <w:r w:rsidR="00E33D22" w:rsidRPr="00E33D22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E33D22" w:rsidRPr="00E33D22">
        <w:rPr>
          <w:rFonts w:ascii="Arial" w:hAnsi="Arial" w:cs="Arial"/>
          <w:sz w:val="22"/>
          <w:szCs w:val="22"/>
        </w:rPr>
        <w:t xml:space="preserve">; </w:t>
      </w:r>
      <w:r w:rsidR="00E33D22" w:rsidRPr="00E33D22">
        <w:rPr>
          <w:rFonts w:ascii="Arial" w:hAnsi="Arial" w:cs="Arial"/>
          <w:b/>
          <w:sz w:val="22"/>
          <w:szCs w:val="22"/>
        </w:rPr>
        <w:t>AND</w:t>
      </w:r>
    </w:p>
    <w:p w:rsidR="00B615D9" w:rsidRPr="00B615D9" w:rsidRDefault="00B615D9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:rsidR="00E33D22" w:rsidRDefault="00B615D9" w:rsidP="00E33D22">
      <w:pPr>
        <w:ind w:left="1440" w:hanging="1440"/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lastRenderedPageBreak/>
        <w:t>WHEREAS,</w:t>
      </w:r>
      <w:r w:rsidRPr="00B615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E33D22">
        <w:rPr>
          <w:rFonts w:ascii="Arial" w:hAnsi="Arial" w:cs="Arial"/>
          <w:sz w:val="22"/>
          <w:szCs w:val="22"/>
        </w:rPr>
        <w:t>t</w:t>
      </w:r>
      <w:r w:rsidR="00E33D22" w:rsidRPr="00BE6154">
        <w:rPr>
          <w:rFonts w:ascii="Arial" w:hAnsi="Arial" w:cs="Arial"/>
          <w:sz w:val="22"/>
          <w:szCs w:val="22"/>
        </w:rPr>
        <w:t>h</w:t>
      </w:r>
      <w:r w:rsidR="00E33D22">
        <w:rPr>
          <w:rFonts w:ascii="Arial" w:hAnsi="Arial" w:cs="Arial"/>
          <w:sz w:val="22"/>
          <w:szCs w:val="22"/>
        </w:rPr>
        <w:t xml:space="preserve">e </w:t>
      </w:r>
      <w:r w:rsidR="00E33D22" w:rsidRPr="00BE6154">
        <w:rPr>
          <w:rFonts w:ascii="Arial" w:hAnsi="Arial" w:cs="Arial"/>
          <w:sz w:val="22"/>
          <w:szCs w:val="22"/>
        </w:rPr>
        <w:t xml:space="preserve">initial report </w:t>
      </w:r>
      <w:r w:rsidR="00E33D22">
        <w:rPr>
          <w:rFonts w:ascii="Arial" w:hAnsi="Arial" w:cs="Arial"/>
          <w:sz w:val="22"/>
          <w:szCs w:val="22"/>
        </w:rPr>
        <w:t xml:space="preserve">submitted to Congress </w:t>
      </w:r>
      <w:r w:rsidR="00E33D22" w:rsidRPr="00BE6154">
        <w:rPr>
          <w:rFonts w:ascii="Arial" w:hAnsi="Arial" w:cs="Arial"/>
          <w:sz w:val="22"/>
          <w:szCs w:val="22"/>
        </w:rPr>
        <w:t>estimate</w:t>
      </w:r>
      <w:r w:rsidR="00E33D22">
        <w:rPr>
          <w:rFonts w:ascii="Arial" w:hAnsi="Arial" w:cs="Arial"/>
          <w:sz w:val="22"/>
          <w:szCs w:val="22"/>
        </w:rPr>
        <w:t>d</w:t>
      </w:r>
      <w:r w:rsidR="00E33D22" w:rsidRPr="00BE6154">
        <w:rPr>
          <w:rFonts w:ascii="Arial" w:hAnsi="Arial" w:cs="Arial"/>
          <w:sz w:val="22"/>
          <w:szCs w:val="22"/>
        </w:rPr>
        <w:t xml:space="preserve"> </w:t>
      </w:r>
      <w:r w:rsidR="00E33D22">
        <w:rPr>
          <w:rFonts w:ascii="Arial" w:hAnsi="Arial" w:cs="Arial"/>
          <w:sz w:val="22"/>
          <w:szCs w:val="22"/>
        </w:rPr>
        <w:t xml:space="preserve">facilities needs and costs based on </w:t>
      </w:r>
      <w:r w:rsidR="00240CF9">
        <w:rPr>
          <w:rFonts w:ascii="Arial" w:hAnsi="Arial" w:cs="Arial"/>
          <w:sz w:val="22"/>
          <w:szCs w:val="22"/>
        </w:rPr>
        <w:t>unfunded projects i</w:t>
      </w:r>
      <w:r w:rsidR="00E33D22" w:rsidRPr="00BE6154">
        <w:rPr>
          <w:rFonts w:ascii="Arial" w:hAnsi="Arial" w:cs="Arial"/>
          <w:sz w:val="22"/>
          <w:szCs w:val="22"/>
        </w:rPr>
        <w:t>n the existing Health Care Facilities Construction Priority List (Priority List)</w:t>
      </w:r>
      <w:r w:rsidR="00240CF9">
        <w:rPr>
          <w:rFonts w:ascii="Arial" w:hAnsi="Arial" w:cs="Arial"/>
          <w:sz w:val="22"/>
          <w:szCs w:val="22"/>
        </w:rPr>
        <w:t>,</w:t>
      </w:r>
      <w:r w:rsidR="00E33D22" w:rsidRPr="00BE6154">
        <w:rPr>
          <w:rFonts w:ascii="Arial" w:hAnsi="Arial" w:cs="Arial"/>
          <w:sz w:val="22"/>
          <w:szCs w:val="22"/>
        </w:rPr>
        <w:t xml:space="preserve"> </w:t>
      </w:r>
      <w:r w:rsidR="00E33D22">
        <w:rPr>
          <w:rFonts w:ascii="Arial" w:hAnsi="Arial" w:cs="Arial"/>
          <w:sz w:val="22"/>
          <w:szCs w:val="22"/>
        </w:rPr>
        <w:t xml:space="preserve">in addition to those projects </w:t>
      </w:r>
      <w:r w:rsidR="00E33D22" w:rsidRPr="00BE6154">
        <w:rPr>
          <w:rFonts w:ascii="Arial" w:hAnsi="Arial" w:cs="Arial"/>
          <w:sz w:val="22"/>
          <w:szCs w:val="22"/>
        </w:rPr>
        <w:t xml:space="preserve">identified in Area Health Services and Facilities Master Plans </w:t>
      </w:r>
      <w:r w:rsidR="00E33D22">
        <w:rPr>
          <w:rFonts w:ascii="Arial" w:hAnsi="Arial" w:cs="Arial"/>
          <w:sz w:val="22"/>
          <w:szCs w:val="22"/>
        </w:rPr>
        <w:t xml:space="preserve">(Masters Plans) </w:t>
      </w:r>
      <w:r w:rsidR="00E33D22" w:rsidRPr="00BE6154">
        <w:rPr>
          <w:rFonts w:ascii="Arial" w:hAnsi="Arial" w:cs="Arial"/>
          <w:sz w:val="22"/>
          <w:szCs w:val="22"/>
        </w:rPr>
        <w:t xml:space="preserve">developed </w:t>
      </w:r>
      <w:r w:rsidR="00E33D22">
        <w:rPr>
          <w:rFonts w:ascii="Arial" w:hAnsi="Arial" w:cs="Arial"/>
          <w:sz w:val="22"/>
          <w:szCs w:val="22"/>
        </w:rPr>
        <w:t xml:space="preserve">in FY 2005 with their costs estimated by using the health care facility priority system; </w:t>
      </w:r>
      <w:r w:rsidR="00E33D22" w:rsidRPr="00BE6154">
        <w:rPr>
          <w:rFonts w:ascii="Arial" w:hAnsi="Arial" w:cs="Arial"/>
          <w:b/>
          <w:sz w:val="22"/>
          <w:szCs w:val="22"/>
        </w:rPr>
        <w:t xml:space="preserve">AND </w:t>
      </w:r>
    </w:p>
    <w:p w:rsidR="00B615D9" w:rsidRPr="00B615D9" w:rsidRDefault="00B615D9" w:rsidP="00E33D22">
      <w:pPr>
        <w:ind w:left="1440" w:hanging="1440"/>
        <w:rPr>
          <w:rFonts w:ascii="Arial" w:hAnsi="Arial" w:cs="Arial"/>
          <w:sz w:val="22"/>
          <w:szCs w:val="22"/>
        </w:rPr>
      </w:pPr>
    </w:p>
    <w:p w:rsidR="00240CF9" w:rsidRDefault="00B615D9" w:rsidP="00E33D22">
      <w:pPr>
        <w:ind w:left="1440" w:hanging="1440"/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WHEREAS,</w:t>
      </w:r>
      <w:r w:rsidRPr="00B61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240CF9">
        <w:rPr>
          <w:rFonts w:ascii="Arial" w:hAnsi="Arial" w:cs="Arial"/>
          <w:sz w:val="22"/>
          <w:szCs w:val="22"/>
        </w:rPr>
        <w:t xml:space="preserve">CRIHB, NPAIHB, and </w:t>
      </w:r>
      <w:r w:rsidR="00E33D22">
        <w:rPr>
          <w:rFonts w:ascii="Arial" w:hAnsi="Arial" w:cs="Arial"/>
          <w:sz w:val="22"/>
          <w:szCs w:val="22"/>
        </w:rPr>
        <w:t xml:space="preserve">many </w:t>
      </w:r>
      <w:r w:rsidR="00240CF9">
        <w:rPr>
          <w:rFonts w:ascii="Arial" w:hAnsi="Arial" w:cs="Arial"/>
          <w:sz w:val="22"/>
          <w:szCs w:val="22"/>
        </w:rPr>
        <w:t xml:space="preserve">other </w:t>
      </w:r>
      <w:r w:rsidR="00E33D22">
        <w:rPr>
          <w:rFonts w:ascii="Arial" w:hAnsi="Arial" w:cs="Arial"/>
          <w:sz w:val="22"/>
          <w:szCs w:val="22"/>
        </w:rPr>
        <w:t xml:space="preserve">Tribes and </w:t>
      </w:r>
      <w:r w:rsidR="00240CF9">
        <w:rPr>
          <w:rFonts w:ascii="Arial" w:hAnsi="Arial" w:cs="Arial"/>
          <w:sz w:val="22"/>
          <w:szCs w:val="22"/>
        </w:rPr>
        <w:t>Tribal</w:t>
      </w:r>
      <w:r w:rsidR="00E33D22">
        <w:rPr>
          <w:rFonts w:ascii="Arial" w:hAnsi="Arial" w:cs="Arial"/>
          <w:sz w:val="22"/>
          <w:szCs w:val="22"/>
        </w:rPr>
        <w:t xml:space="preserve"> Organizations do not feel that the report submitted to Congress was adequate to identify a national comprehensive list of facilities needs in light of the fact that the Priority List has been locked since approximately 1991 and Tribes and </w:t>
      </w:r>
      <w:r w:rsidR="00240CF9">
        <w:rPr>
          <w:rFonts w:ascii="Arial" w:hAnsi="Arial" w:cs="Arial"/>
          <w:sz w:val="22"/>
          <w:szCs w:val="22"/>
        </w:rPr>
        <w:t>Tribal</w:t>
      </w:r>
      <w:r w:rsidR="00E33D22">
        <w:rPr>
          <w:rFonts w:ascii="Arial" w:hAnsi="Arial" w:cs="Arial"/>
          <w:sz w:val="22"/>
          <w:szCs w:val="22"/>
        </w:rPr>
        <w:t xml:space="preserve"> Organizations have not had an equitable opportunity to compete for funding in</w:t>
      </w:r>
      <w:r w:rsidR="00240CF9">
        <w:rPr>
          <w:rFonts w:ascii="Arial" w:hAnsi="Arial" w:cs="Arial"/>
          <w:sz w:val="22"/>
          <w:szCs w:val="22"/>
        </w:rPr>
        <w:t xml:space="preserve"> order to be placed on the list; </w:t>
      </w:r>
      <w:r w:rsidR="00240CF9" w:rsidRPr="00BE6154">
        <w:rPr>
          <w:rFonts w:ascii="Arial" w:hAnsi="Arial" w:cs="Arial"/>
          <w:b/>
          <w:sz w:val="22"/>
          <w:szCs w:val="22"/>
        </w:rPr>
        <w:t>AND</w:t>
      </w:r>
    </w:p>
    <w:p w:rsidR="00240CF9" w:rsidRDefault="00240CF9" w:rsidP="00E33D22">
      <w:pPr>
        <w:ind w:left="1440" w:hanging="1440"/>
        <w:rPr>
          <w:rFonts w:ascii="Arial" w:hAnsi="Arial" w:cs="Arial"/>
          <w:sz w:val="22"/>
          <w:szCs w:val="22"/>
        </w:rPr>
      </w:pPr>
    </w:p>
    <w:p w:rsidR="00B615D9" w:rsidRPr="00E33D22" w:rsidRDefault="00240CF9" w:rsidP="00E33D22">
      <w:pPr>
        <w:ind w:left="1440" w:hanging="1440"/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WHEREAS,</w:t>
      </w:r>
      <w:r w:rsidRPr="00B61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E33D22">
        <w:rPr>
          <w:rFonts w:ascii="Arial" w:hAnsi="Arial" w:cs="Arial"/>
          <w:sz w:val="22"/>
          <w:szCs w:val="22"/>
        </w:rPr>
        <w:t xml:space="preserve">the 2005 Area Master Planning process included inconsistent planning criteria (and the necessary </w:t>
      </w:r>
      <w:r>
        <w:rPr>
          <w:rFonts w:ascii="Arial" w:hAnsi="Arial" w:cs="Arial"/>
          <w:sz w:val="22"/>
          <w:szCs w:val="22"/>
        </w:rPr>
        <w:t>resources to complete thorough</w:t>
      </w:r>
      <w:r w:rsidR="00E33D22">
        <w:rPr>
          <w:rFonts w:ascii="Arial" w:hAnsi="Arial" w:cs="Arial"/>
          <w:sz w:val="22"/>
          <w:szCs w:val="22"/>
        </w:rPr>
        <w:t xml:space="preserve"> and comparable master plans) across </w:t>
      </w:r>
      <w:r>
        <w:rPr>
          <w:rFonts w:ascii="Arial" w:hAnsi="Arial" w:cs="Arial"/>
          <w:sz w:val="22"/>
          <w:szCs w:val="22"/>
        </w:rPr>
        <w:t xml:space="preserve">the entire IHS system, and </w:t>
      </w:r>
      <w:r w:rsidR="00E33D22">
        <w:rPr>
          <w:rFonts w:ascii="Arial" w:hAnsi="Arial" w:cs="Arial"/>
          <w:sz w:val="22"/>
          <w:szCs w:val="22"/>
        </w:rPr>
        <w:t>neither of these two processes incorporated new authorities f</w:t>
      </w:r>
      <w:r>
        <w:rPr>
          <w:rFonts w:ascii="Arial" w:hAnsi="Arial" w:cs="Arial"/>
          <w:sz w:val="22"/>
          <w:szCs w:val="22"/>
        </w:rPr>
        <w:t>or health services or facility</w:t>
      </w:r>
      <w:r w:rsidR="00E33D22">
        <w:rPr>
          <w:rFonts w:ascii="Arial" w:hAnsi="Arial" w:cs="Arial"/>
          <w:sz w:val="22"/>
          <w:szCs w:val="22"/>
        </w:rPr>
        <w:t xml:space="preserve"> types authorized in the 2010 amendments to </w:t>
      </w:r>
      <w:r>
        <w:rPr>
          <w:rFonts w:ascii="Arial" w:hAnsi="Arial" w:cs="Arial"/>
          <w:sz w:val="22"/>
          <w:szCs w:val="22"/>
        </w:rPr>
        <w:t xml:space="preserve">the </w:t>
      </w:r>
      <w:r w:rsidR="00E33D22">
        <w:rPr>
          <w:rFonts w:ascii="Arial" w:hAnsi="Arial" w:cs="Arial"/>
          <w:sz w:val="22"/>
          <w:szCs w:val="22"/>
        </w:rPr>
        <w:t xml:space="preserve">IHCIA; </w:t>
      </w:r>
      <w:r w:rsidR="00E33D22" w:rsidRPr="00B615D9">
        <w:rPr>
          <w:rFonts w:ascii="Arial" w:hAnsi="Arial" w:cs="Arial"/>
          <w:b/>
          <w:sz w:val="22"/>
          <w:szCs w:val="22"/>
        </w:rPr>
        <w:t>AND</w:t>
      </w:r>
    </w:p>
    <w:p w:rsidR="00B615D9" w:rsidRPr="00B615D9" w:rsidRDefault="00B615D9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:rsidR="00694558" w:rsidRDefault="00EC35F6" w:rsidP="00E33D22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WHEREAS, </w:t>
      </w:r>
      <w:r>
        <w:rPr>
          <w:rFonts w:ascii="Arial" w:hAnsi="Arial" w:cs="Arial"/>
          <w:sz w:val="22"/>
          <w:szCs w:val="22"/>
        </w:rPr>
        <w:tab/>
      </w:r>
      <w:r w:rsidR="00E33D22">
        <w:rPr>
          <w:rFonts w:ascii="Arial" w:hAnsi="Arial" w:cs="Arial"/>
          <w:sz w:val="22"/>
          <w:szCs w:val="22"/>
        </w:rPr>
        <w:t>t</w:t>
      </w:r>
      <w:r w:rsidR="00E33D22" w:rsidRPr="00E33D22">
        <w:rPr>
          <w:rFonts w:ascii="Arial" w:hAnsi="Arial" w:cs="Arial"/>
          <w:sz w:val="22"/>
          <w:szCs w:val="22"/>
        </w:rPr>
        <w:t>he 2016 IHS/</w:t>
      </w:r>
      <w:r w:rsidR="00240CF9">
        <w:rPr>
          <w:rFonts w:ascii="Arial" w:hAnsi="Arial" w:cs="Arial"/>
          <w:sz w:val="22"/>
          <w:szCs w:val="22"/>
        </w:rPr>
        <w:t>Tribal</w:t>
      </w:r>
      <w:r w:rsidR="00E33D22" w:rsidRPr="00E33D22">
        <w:rPr>
          <w:rFonts w:ascii="Arial" w:hAnsi="Arial" w:cs="Arial"/>
          <w:sz w:val="22"/>
          <w:szCs w:val="22"/>
        </w:rPr>
        <w:t xml:space="preserve"> Health Care Facilities’ Needs Asse</w:t>
      </w:r>
      <w:r w:rsidR="00280A11">
        <w:rPr>
          <w:rFonts w:ascii="Arial" w:hAnsi="Arial" w:cs="Arial"/>
          <w:sz w:val="22"/>
          <w:szCs w:val="22"/>
        </w:rPr>
        <w:t>ssment Report to Congress stated</w:t>
      </w:r>
      <w:r w:rsidR="00E33D22" w:rsidRPr="00E33D22">
        <w:rPr>
          <w:rFonts w:ascii="Arial" w:hAnsi="Arial" w:cs="Arial"/>
          <w:sz w:val="22"/>
          <w:szCs w:val="22"/>
        </w:rPr>
        <w:t xml:space="preserve"> that the current </w:t>
      </w:r>
      <w:r w:rsidR="00694558">
        <w:rPr>
          <w:rFonts w:ascii="Arial" w:hAnsi="Arial" w:cs="Arial"/>
          <w:sz w:val="22"/>
          <w:szCs w:val="22"/>
        </w:rPr>
        <w:t>Priority List</w:t>
      </w:r>
      <w:r w:rsidR="00E33D22" w:rsidRPr="00E33D22">
        <w:rPr>
          <w:rFonts w:ascii="Arial" w:hAnsi="Arial" w:cs="Arial"/>
          <w:sz w:val="22"/>
          <w:szCs w:val="22"/>
        </w:rPr>
        <w:t xml:space="preserve"> will not be complete until 2041 and at the current rate of construction appropriations and the replacement timeline, a new 2016 facility would not be replaced for 400 years</w:t>
      </w:r>
      <w:r w:rsidR="00694558">
        <w:rPr>
          <w:rFonts w:ascii="Arial" w:hAnsi="Arial" w:cs="Arial"/>
          <w:sz w:val="22"/>
          <w:szCs w:val="22"/>
        </w:rPr>
        <w:t xml:space="preserve">; </w:t>
      </w:r>
      <w:r w:rsidR="00694558" w:rsidRPr="00B615D9">
        <w:rPr>
          <w:rFonts w:ascii="Arial" w:hAnsi="Arial" w:cs="Arial"/>
          <w:b/>
          <w:sz w:val="22"/>
          <w:szCs w:val="22"/>
        </w:rPr>
        <w:t>AND</w:t>
      </w:r>
    </w:p>
    <w:p w:rsidR="00694558" w:rsidRDefault="00694558" w:rsidP="00E33D22">
      <w:pPr>
        <w:ind w:left="1440" w:hanging="1440"/>
        <w:rPr>
          <w:rFonts w:ascii="Arial" w:hAnsi="Arial" w:cs="Arial"/>
          <w:sz w:val="22"/>
          <w:szCs w:val="22"/>
        </w:rPr>
      </w:pPr>
    </w:p>
    <w:p w:rsidR="00694558" w:rsidRDefault="00694558" w:rsidP="00694558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WHEREAS, </w:t>
      </w:r>
      <w:r>
        <w:rPr>
          <w:rFonts w:ascii="Arial" w:hAnsi="Arial" w:cs="Arial"/>
          <w:sz w:val="22"/>
          <w:szCs w:val="22"/>
        </w:rPr>
        <w:tab/>
        <w:t xml:space="preserve">many Tribes and </w:t>
      </w:r>
      <w:r w:rsidR="00240CF9">
        <w:rPr>
          <w:rFonts w:ascii="Arial" w:hAnsi="Arial" w:cs="Arial"/>
          <w:sz w:val="22"/>
          <w:szCs w:val="22"/>
        </w:rPr>
        <w:t>Tribal</w:t>
      </w:r>
      <w:r>
        <w:rPr>
          <w:rFonts w:ascii="Arial" w:hAnsi="Arial" w:cs="Arial"/>
          <w:sz w:val="22"/>
          <w:szCs w:val="22"/>
        </w:rPr>
        <w:t xml:space="preserve"> Organizations have had to assume substantial debt to build or renovate clinics for Indian people to receive IHS-funded health care.</w:t>
      </w:r>
    </w:p>
    <w:p w:rsidR="00B615D9" w:rsidRPr="00B615D9" w:rsidRDefault="00B615D9" w:rsidP="00694558">
      <w:pPr>
        <w:rPr>
          <w:rFonts w:ascii="Arial" w:hAnsi="Arial" w:cs="Arial"/>
          <w:sz w:val="22"/>
          <w:szCs w:val="22"/>
        </w:rPr>
      </w:pPr>
    </w:p>
    <w:p w:rsidR="00B228D2" w:rsidRDefault="00B615D9" w:rsidP="00C54ECB">
      <w:pPr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THER</w:t>
      </w:r>
      <w:r w:rsidR="002E6299">
        <w:rPr>
          <w:rFonts w:ascii="Arial" w:hAnsi="Arial" w:cs="Arial"/>
          <w:b/>
          <w:sz w:val="22"/>
          <w:szCs w:val="22"/>
        </w:rPr>
        <w:t>E</w:t>
      </w:r>
      <w:r w:rsidRPr="00B615D9">
        <w:rPr>
          <w:rFonts w:ascii="Arial" w:hAnsi="Arial" w:cs="Arial"/>
          <w:b/>
          <w:sz w:val="22"/>
          <w:szCs w:val="22"/>
        </w:rPr>
        <w:t>FORE BE IT RESOLVED</w:t>
      </w:r>
      <w:r w:rsidR="00240CF9">
        <w:rPr>
          <w:rFonts w:ascii="Arial" w:hAnsi="Arial" w:cs="Arial"/>
          <w:sz w:val="22"/>
          <w:szCs w:val="22"/>
        </w:rPr>
        <w:t>,</w:t>
      </w:r>
      <w:r w:rsidR="00694558">
        <w:rPr>
          <w:rFonts w:ascii="Arial" w:hAnsi="Arial" w:cs="Arial"/>
          <w:sz w:val="22"/>
          <w:szCs w:val="22"/>
        </w:rPr>
        <w:t xml:space="preserve"> </w:t>
      </w:r>
      <w:r w:rsidR="00240CF9">
        <w:rPr>
          <w:rFonts w:ascii="Arial" w:hAnsi="Arial" w:cs="Arial"/>
          <w:sz w:val="22"/>
          <w:szCs w:val="22"/>
        </w:rPr>
        <w:t xml:space="preserve">that </w:t>
      </w:r>
      <w:r w:rsidR="00B228D2">
        <w:rPr>
          <w:rFonts w:ascii="Arial" w:hAnsi="Arial" w:cs="Arial"/>
          <w:sz w:val="22"/>
          <w:szCs w:val="22"/>
        </w:rPr>
        <w:t xml:space="preserve">CRIHB and NPAIHB </w:t>
      </w:r>
      <w:r w:rsidR="00EE7664" w:rsidRPr="00EE7664">
        <w:rPr>
          <w:rFonts w:ascii="Arial" w:hAnsi="Arial" w:cs="Arial"/>
          <w:sz w:val="22"/>
          <w:szCs w:val="22"/>
        </w:rPr>
        <w:t xml:space="preserve">urge </w:t>
      </w:r>
      <w:r w:rsidR="00240CF9">
        <w:rPr>
          <w:rFonts w:ascii="Arial" w:hAnsi="Arial" w:cs="Arial"/>
          <w:sz w:val="22"/>
          <w:szCs w:val="22"/>
        </w:rPr>
        <w:t>the U.S.</w:t>
      </w:r>
      <w:r w:rsidR="00EE7664">
        <w:rPr>
          <w:rFonts w:ascii="Arial" w:hAnsi="Arial" w:cs="Arial"/>
          <w:sz w:val="22"/>
          <w:szCs w:val="22"/>
        </w:rPr>
        <w:t xml:space="preserve"> Congress</w:t>
      </w:r>
      <w:r w:rsidR="00EE7664" w:rsidRPr="00EE7664">
        <w:rPr>
          <w:rFonts w:ascii="Arial" w:hAnsi="Arial" w:cs="Arial"/>
          <w:sz w:val="22"/>
          <w:szCs w:val="22"/>
        </w:rPr>
        <w:t xml:space="preserve"> to </w:t>
      </w:r>
      <w:r w:rsidR="00694558">
        <w:rPr>
          <w:rFonts w:ascii="Arial" w:hAnsi="Arial" w:cs="Arial"/>
          <w:sz w:val="22"/>
          <w:szCs w:val="22"/>
        </w:rPr>
        <w:t>i</w:t>
      </w:r>
      <w:r w:rsidR="00694558" w:rsidRPr="00694558">
        <w:rPr>
          <w:rFonts w:ascii="Arial" w:hAnsi="Arial" w:cs="Arial"/>
          <w:sz w:val="22"/>
          <w:szCs w:val="22"/>
        </w:rPr>
        <w:t>nstruct the G</w:t>
      </w:r>
      <w:r w:rsidR="00694558">
        <w:rPr>
          <w:rFonts w:ascii="Arial" w:hAnsi="Arial" w:cs="Arial"/>
          <w:sz w:val="22"/>
          <w:szCs w:val="22"/>
        </w:rPr>
        <w:t xml:space="preserve">overnment </w:t>
      </w:r>
      <w:r w:rsidR="00694558" w:rsidRPr="00694558">
        <w:rPr>
          <w:rFonts w:ascii="Arial" w:hAnsi="Arial" w:cs="Arial"/>
          <w:sz w:val="22"/>
          <w:szCs w:val="22"/>
        </w:rPr>
        <w:t>A</w:t>
      </w:r>
      <w:r w:rsidR="00694558">
        <w:rPr>
          <w:rFonts w:ascii="Arial" w:hAnsi="Arial" w:cs="Arial"/>
          <w:sz w:val="22"/>
          <w:szCs w:val="22"/>
        </w:rPr>
        <w:t xml:space="preserve">ccountability </w:t>
      </w:r>
      <w:r w:rsidR="00694558" w:rsidRPr="00694558">
        <w:rPr>
          <w:rFonts w:ascii="Arial" w:hAnsi="Arial" w:cs="Arial"/>
          <w:sz w:val="22"/>
          <w:szCs w:val="22"/>
        </w:rPr>
        <w:t>O</w:t>
      </w:r>
      <w:r w:rsidR="00694558">
        <w:rPr>
          <w:rFonts w:ascii="Arial" w:hAnsi="Arial" w:cs="Arial"/>
          <w:sz w:val="22"/>
          <w:szCs w:val="22"/>
        </w:rPr>
        <w:t>ffice</w:t>
      </w:r>
      <w:r w:rsidR="00694558" w:rsidRPr="00694558">
        <w:rPr>
          <w:rFonts w:ascii="Arial" w:hAnsi="Arial" w:cs="Arial"/>
          <w:sz w:val="22"/>
          <w:szCs w:val="22"/>
        </w:rPr>
        <w:t xml:space="preserve"> to review and issue a report on the IHS Facilities Construction Priority System</w:t>
      </w:r>
      <w:r w:rsidR="00694558">
        <w:rPr>
          <w:rFonts w:ascii="Arial" w:hAnsi="Arial" w:cs="Arial"/>
          <w:sz w:val="22"/>
          <w:szCs w:val="22"/>
        </w:rPr>
        <w:t>, including historical and current funding distribution inequities</w:t>
      </w:r>
      <w:r w:rsidR="009F1065">
        <w:rPr>
          <w:rFonts w:ascii="Arial" w:hAnsi="Arial" w:cs="Arial"/>
          <w:sz w:val="22"/>
          <w:szCs w:val="22"/>
        </w:rPr>
        <w:t xml:space="preserve">; </w:t>
      </w:r>
      <w:r w:rsidR="009F1065" w:rsidRPr="00B615D9">
        <w:rPr>
          <w:rFonts w:ascii="Arial" w:hAnsi="Arial" w:cs="Arial"/>
          <w:b/>
          <w:sz w:val="22"/>
          <w:szCs w:val="22"/>
        </w:rPr>
        <w:t>AND</w:t>
      </w:r>
    </w:p>
    <w:p w:rsidR="00B615D9" w:rsidRPr="00B615D9" w:rsidRDefault="00B615D9" w:rsidP="00C54ECB">
      <w:pPr>
        <w:rPr>
          <w:rFonts w:ascii="Arial" w:hAnsi="Arial" w:cs="Arial"/>
          <w:sz w:val="22"/>
          <w:szCs w:val="22"/>
        </w:rPr>
      </w:pPr>
    </w:p>
    <w:p w:rsidR="00EC5C15" w:rsidRPr="008C1634" w:rsidRDefault="008D193C" w:rsidP="00C54ECB">
      <w:r>
        <w:rPr>
          <w:rFonts w:ascii="Arial" w:hAnsi="Arial" w:cs="Arial"/>
          <w:b/>
          <w:sz w:val="22"/>
          <w:szCs w:val="22"/>
        </w:rPr>
        <w:t>BE IT FINALLY RESOLVED</w:t>
      </w:r>
      <w:r w:rsidR="00D453D8">
        <w:rPr>
          <w:rFonts w:ascii="Arial" w:hAnsi="Arial" w:cs="Arial"/>
          <w:sz w:val="22"/>
          <w:szCs w:val="22"/>
        </w:rPr>
        <w:t xml:space="preserve">, </w:t>
      </w:r>
      <w:r w:rsidR="00694558" w:rsidRPr="00694558">
        <w:rPr>
          <w:rFonts w:ascii="Arial" w:hAnsi="Arial" w:cs="Arial"/>
          <w:sz w:val="22"/>
          <w:szCs w:val="22"/>
        </w:rPr>
        <w:t>that CRIHB a</w:t>
      </w:r>
      <w:r w:rsidR="00240CF9">
        <w:rPr>
          <w:rFonts w:ascii="Arial" w:hAnsi="Arial" w:cs="Arial"/>
          <w:sz w:val="22"/>
          <w:szCs w:val="22"/>
        </w:rPr>
        <w:t>nd NPAIHB urge the U.S.</w:t>
      </w:r>
      <w:r w:rsidR="00694558" w:rsidRPr="00694558">
        <w:rPr>
          <w:rFonts w:ascii="Arial" w:hAnsi="Arial" w:cs="Arial"/>
          <w:sz w:val="22"/>
          <w:szCs w:val="22"/>
        </w:rPr>
        <w:t xml:space="preserve"> Congress</w:t>
      </w:r>
      <w:r w:rsidR="00694558">
        <w:rPr>
          <w:rFonts w:ascii="Arial" w:hAnsi="Arial" w:cs="Arial"/>
          <w:sz w:val="22"/>
          <w:szCs w:val="22"/>
        </w:rPr>
        <w:t xml:space="preserve"> to increase funding to the Indian Health Facilities acco</w:t>
      </w:r>
      <w:r w:rsidR="00240CF9">
        <w:rPr>
          <w:rFonts w:ascii="Arial" w:hAnsi="Arial" w:cs="Arial"/>
          <w:sz w:val="22"/>
          <w:szCs w:val="22"/>
        </w:rPr>
        <w:t>unt in the IHS budget to provide</w:t>
      </w:r>
      <w:r w:rsidR="00694558">
        <w:rPr>
          <w:rFonts w:ascii="Arial" w:hAnsi="Arial" w:cs="Arial"/>
          <w:sz w:val="22"/>
          <w:szCs w:val="22"/>
        </w:rPr>
        <w:t xml:space="preserve"> construction, repair and improvement, equipment, and environmental health and facilities support for </w:t>
      </w:r>
      <w:r w:rsidR="00240CF9">
        <w:rPr>
          <w:rFonts w:ascii="Arial" w:hAnsi="Arial" w:cs="Arial"/>
          <w:sz w:val="22"/>
          <w:szCs w:val="22"/>
        </w:rPr>
        <w:t xml:space="preserve">all </w:t>
      </w:r>
      <w:r w:rsidR="00694558">
        <w:rPr>
          <w:rFonts w:ascii="Arial" w:hAnsi="Arial" w:cs="Arial"/>
          <w:sz w:val="22"/>
          <w:szCs w:val="22"/>
        </w:rPr>
        <w:t xml:space="preserve">IHS </w:t>
      </w:r>
      <w:r w:rsidR="00240CF9">
        <w:rPr>
          <w:rFonts w:ascii="Arial" w:hAnsi="Arial" w:cs="Arial"/>
          <w:sz w:val="22"/>
          <w:szCs w:val="22"/>
        </w:rPr>
        <w:t xml:space="preserve">Areas equitably, </w:t>
      </w:r>
      <w:r w:rsidR="00694558">
        <w:rPr>
          <w:rFonts w:ascii="Arial" w:hAnsi="Arial" w:cs="Arial"/>
          <w:sz w:val="22"/>
          <w:szCs w:val="22"/>
        </w:rPr>
        <w:t xml:space="preserve">and </w:t>
      </w:r>
      <w:r w:rsidR="00240CF9">
        <w:rPr>
          <w:rFonts w:ascii="Arial" w:hAnsi="Arial" w:cs="Arial"/>
          <w:sz w:val="22"/>
          <w:szCs w:val="22"/>
        </w:rPr>
        <w:t>for Tribal</w:t>
      </w:r>
      <w:r w:rsidR="00694558">
        <w:rPr>
          <w:rFonts w:ascii="Arial" w:hAnsi="Arial" w:cs="Arial"/>
          <w:sz w:val="22"/>
          <w:szCs w:val="22"/>
        </w:rPr>
        <w:t xml:space="preserve"> governments through self-determination contracts and self-governance compacts</w:t>
      </w:r>
      <w:r w:rsidR="00EE7664" w:rsidRPr="00EE7664">
        <w:rPr>
          <w:rFonts w:ascii="Arial" w:hAnsi="Arial" w:cs="Arial"/>
          <w:sz w:val="22"/>
          <w:szCs w:val="22"/>
        </w:rPr>
        <w:t>.</w:t>
      </w:r>
    </w:p>
    <w:p w:rsidR="008C1634" w:rsidRDefault="008C1634" w:rsidP="00C54ECB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EC5C15" w:rsidRPr="000F14D9" w:rsidRDefault="00EC5C15" w:rsidP="00C54ECB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CERTIFICATION</w:t>
      </w:r>
    </w:p>
    <w:p w:rsidR="00EC5C15" w:rsidRPr="000F14D9" w:rsidRDefault="00EC5C15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EC5C15" w:rsidRPr="009D2E1F" w:rsidRDefault="00EC5C15" w:rsidP="00C54ECB">
      <w:pPr>
        <w:rPr>
          <w:rFonts w:ascii="Arial" w:hAnsi="Arial" w:cs="Arial"/>
          <w:sz w:val="22"/>
          <w:szCs w:val="22"/>
        </w:rPr>
      </w:pPr>
      <w:r w:rsidRPr="009D2E1F">
        <w:rPr>
          <w:rFonts w:ascii="Arial" w:hAnsi="Arial" w:cs="Arial"/>
          <w:sz w:val="22"/>
          <w:szCs w:val="22"/>
        </w:rPr>
        <w:t xml:space="preserve">The foregoing joint resolution was adopted at a duly called regular joint meeting of the Board of Directors of Northwest Portland Area Indian Health Board and California Rural Indian Health Board </w:t>
      </w:r>
      <w:r w:rsidRPr="00963AD5">
        <w:rPr>
          <w:rFonts w:ascii="Arial" w:hAnsi="Arial" w:cs="Arial"/>
          <w:sz w:val="22"/>
          <w:szCs w:val="22"/>
        </w:rPr>
        <w:t>(</w:t>
      </w:r>
      <w:r w:rsidR="00963AD5" w:rsidRPr="000B7897">
        <w:rPr>
          <w:rFonts w:ascii="Arial" w:hAnsi="Arial" w:cs="Arial"/>
          <w:b/>
          <w:i/>
          <w:sz w:val="22"/>
          <w:szCs w:val="22"/>
        </w:rPr>
        <w:t>NPAIHB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 vote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For and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>Against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>and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Abstain; </w:t>
      </w:r>
      <w:r w:rsidRPr="00EF22FE">
        <w:rPr>
          <w:rFonts w:ascii="Arial" w:hAnsi="Arial" w:cs="Arial"/>
          <w:b/>
          <w:i/>
          <w:sz w:val="22"/>
          <w:szCs w:val="22"/>
        </w:rPr>
        <w:t xml:space="preserve">CRIHB </w:t>
      </w:r>
      <w:r w:rsidRPr="00EF22FE">
        <w:rPr>
          <w:rFonts w:ascii="Arial" w:hAnsi="Arial" w:cs="Arial"/>
          <w:i/>
          <w:sz w:val="22"/>
          <w:szCs w:val="22"/>
        </w:rPr>
        <w:t xml:space="preserve">vote </w:t>
      </w:r>
      <w:r w:rsidR="00F955A7">
        <w:rPr>
          <w:rFonts w:ascii="Arial" w:hAnsi="Arial" w:cs="Arial"/>
          <w:i/>
          <w:sz w:val="22"/>
          <w:szCs w:val="22"/>
          <w:u w:val="single"/>
        </w:rPr>
        <w:t>__</w:t>
      </w:r>
      <w:r w:rsidRPr="00EF22FE">
        <w:rPr>
          <w:rFonts w:ascii="Arial" w:hAnsi="Arial" w:cs="Arial"/>
          <w:i/>
          <w:sz w:val="22"/>
          <w:szCs w:val="22"/>
        </w:rPr>
        <w:t xml:space="preserve"> For and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="00F955A7">
        <w:rPr>
          <w:rFonts w:ascii="Arial" w:hAnsi="Arial" w:cs="Arial"/>
          <w:i/>
          <w:sz w:val="22"/>
          <w:szCs w:val="22"/>
          <w:u w:val="single"/>
        </w:rPr>
        <w:t>_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>Against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 xml:space="preserve">and </w:t>
      </w:r>
      <w:r w:rsidR="00F955A7">
        <w:rPr>
          <w:rFonts w:ascii="Arial" w:hAnsi="Arial" w:cs="Arial"/>
          <w:i/>
          <w:sz w:val="22"/>
          <w:szCs w:val="22"/>
          <w:u w:val="single"/>
        </w:rPr>
        <w:t>_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>Abstain</w:t>
      </w:r>
      <w:r w:rsidRPr="00EF22FE">
        <w:rPr>
          <w:rFonts w:ascii="Arial" w:hAnsi="Arial" w:cs="Arial"/>
          <w:sz w:val="22"/>
          <w:szCs w:val="22"/>
        </w:rPr>
        <w:t>)</w:t>
      </w:r>
      <w:r w:rsidRPr="009D2E1F">
        <w:rPr>
          <w:rFonts w:ascii="Arial" w:hAnsi="Arial" w:cs="Arial"/>
          <w:sz w:val="22"/>
          <w:szCs w:val="22"/>
        </w:rPr>
        <w:t xml:space="preserve"> held this </w:t>
      </w:r>
      <w:r w:rsidR="00F955A7">
        <w:rPr>
          <w:rFonts w:ascii="Arial" w:hAnsi="Arial" w:cs="Arial"/>
          <w:sz w:val="22"/>
          <w:szCs w:val="22"/>
        </w:rPr>
        <w:t xml:space="preserve">        </w:t>
      </w:r>
      <w:r w:rsidR="006B1500" w:rsidRPr="009D2E1F">
        <w:rPr>
          <w:rFonts w:ascii="Arial" w:hAnsi="Arial" w:cs="Arial"/>
          <w:sz w:val="22"/>
          <w:szCs w:val="22"/>
        </w:rPr>
        <w:t>day of July 201</w:t>
      </w:r>
      <w:r w:rsidR="00F955A7">
        <w:rPr>
          <w:rFonts w:ascii="Arial" w:hAnsi="Arial" w:cs="Arial"/>
          <w:sz w:val="22"/>
          <w:szCs w:val="22"/>
        </w:rPr>
        <w:t>7</w:t>
      </w:r>
      <w:r w:rsidRPr="009D2E1F">
        <w:rPr>
          <w:rFonts w:ascii="Arial" w:hAnsi="Arial" w:cs="Arial"/>
          <w:sz w:val="22"/>
          <w:szCs w:val="22"/>
        </w:rPr>
        <w:t xml:space="preserve"> in </w:t>
      </w:r>
      <w:r w:rsidR="00F955A7">
        <w:rPr>
          <w:rFonts w:ascii="Arial" w:eastAsia="Batang" w:hAnsi="Arial" w:cs="Arial"/>
          <w:sz w:val="22"/>
          <w:szCs w:val="22"/>
        </w:rPr>
        <w:t>Canyonville</w:t>
      </w:r>
      <w:r w:rsidR="00456D53" w:rsidRPr="009D2E1F">
        <w:rPr>
          <w:rFonts w:ascii="Arial" w:eastAsia="Batang" w:hAnsi="Arial" w:cs="Arial"/>
          <w:sz w:val="22"/>
          <w:szCs w:val="22"/>
        </w:rPr>
        <w:t xml:space="preserve">, </w:t>
      </w:r>
      <w:r w:rsidR="00F955A7">
        <w:rPr>
          <w:rFonts w:ascii="Arial" w:eastAsia="Batang" w:hAnsi="Arial" w:cs="Arial"/>
          <w:sz w:val="22"/>
          <w:szCs w:val="22"/>
        </w:rPr>
        <w:t>Oregon</w:t>
      </w:r>
      <w:r w:rsidRPr="009D2E1F">
        <w:rPr>
          <w:rFonts w:ascii="Arial" w:hAnsi="Arial" w:cs="Arial"/>
          <w:sz w:val="22"/>
          <w:szCs w:val="22"/>
        </w:rPr>
        <w:t xml:space="preserve"> and shall remain in full force and effect until rescinded.</w:t>
      </w:r>
    </w:p>
    <w:p w:rsidR="00EC5C15" w:rsidRPr="000F14D9" w:rsidRDefault="00EC5C15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:rsidR="00EF22FE" w:rsidRPr="000F14D9" w:rsidRDefault="00EF22FE" w:rsidP="00EF22FE">
      <w:pPr>
        <w:ind w:left="1440" w:hanging="1440"/>
        <w:rPr>
          <w:rFonts w:ascii="Arial" w:hAnsi="Arial" w:cs="Arial"/>
          <w:sz w:val="22"/>
          <w:szCs w:val="22"/>
        </w:rPr>
      </w:pPr>
    </w:p>
    <w:p w:rsidR="00B50F46" w:rsidRPr="000F14D9" w:rsidRDefault="00B50F46" w:rsidP="00B50F46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NORTHWEST PORTLAND AREA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  <w:t xml:space="preserve">CALIFORNIA RURAL </w:t>
      </w:r>
    </w:p>
    <w:p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INDIAN HEALTH BOARD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  <w:t>INDIAN HEALTH BOARD</w:t>
      </w:r>
    </w:p>
    <w:p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2121 SW Broadway</w:t>
      </w:r>
      <w:r w:rsidRPr="000F14D9">
        <w:rPr>
          <w:rFonts w:ascii="Arial" w:hAnsi="Arial" w:cs="Arial"/>
          <w:sz w:val="22"/>
          <w:szCs w:val="22"/>
        </w:rPr>
        <w:t>, Suite 300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>4400 Auburn Blvd, 2</w:t>
      </w:r>
      <w:r w:rsidRPr="000F14D9">
        <w:rPr>
          <w:rFonts w:ascii="Arial" w:hAnsi="Arial" w:cs="Arial"/>
          <w:sz w:val="22"/>
          <w:szCs w:val="22"/>
          <w:vertAlign w:val="superscript"/>
        </w:rPr>
        <w:t>nd</w:t>
      </w:r>
      <w:r w:rsidRPr="000F14D9">
        <w:rPr>
          <w:rFonts w:ascii="Arial" w:hAnsi="Arial" w:cs="Arial"/>
          <w:sz w:val="22"/>
          <w:szCs w:val="22"/>
        </w:rPr>
        <w:t xml:space="preserve"> Floor</w:t>
      </w:r>
    </w:p>
    <w:p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sz w:val="22"/>
          <w:szCs w:val="22"/>
        </w:rPr>
        <w:t>Portland, OR 97201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  <w:t>Sacramento, CA 95841</w:t>
      </w:r>
    </w:p>
    <w:p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sz w:val="22"/>
          <w:szCs w:val="22"/>
        </w:rPr>
        <w:t>(503) 228-4185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  <w:t>(916) 929-9761</w:t>
      </w:r>
    </w:p>
    <w:p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Chairperson of the Board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Chairperson of the Board</w:t>
      </w:r>
    </w:p>
    <w:p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:rsidR="009C6344" w:rsidRDefault="00B50F46" w:rsidP="00D8614D">
      <w:pPr>
        <w:ind w:left="1440" w:hanging="1440"/>
      </w:pPr>
      <w:r>
        <w:rPr>
          <w:rFonts w:ascii="Arial" w:hAnsi="Arial" w:cs="Arial"/>
          <w:sz w:val="22"/>
          <w:szCs w:val="22"/>
        </w:rPr>
        <w:lastRenderedPageBreak/>
        <w:t>Attest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Attest </w:t>
      </w:r>
    </w:p>
    <w:sectPr w:rsidR="009C6344" w:rsidSect="006A2536"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36" w:rsidRDefault="00645136" w:rsidP="00685F4B">
      <w:r>
        <w:separator/>
      </w:r>
    </w:p>
  </w:endnote>
  <w:endnote w:type="continuationSeparator" w:id="0">
    <w:p w:rsidR="00645136" w:rsidRDefault="00645136" w:rsidP="0068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36" w:rsidRDefault="00645136" w:rsidP="00685F4B">
      <w:r>
        <w:separator/>
      </w:r>
    </w:p>
  </w:footnote>
  <w:footnote w:type="continuationSeparator" w:id="0">
    <w:p w:rsidR="00645136" w:rsidRDefault="00645136" w:rsidP="00685F4B">
      <w:r>
        <w:continuationSeparator/>
      </w:r>
    </w:p>
  </w:footnote>
  <w:footnote w:id="1">
    <w:p w:rsidR="00E33D22" w:rsidRDefault="00E33D22" w:rsidP="00E33D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25 USC </w:t>
      </w:r>
      <w:r w:rsidRPr="00685F4B">
        <w:t>§ 1631</w:t>
      </w:r>
      <w:r>
        <w:t>(c)(2)(A)(ii)(I)</w:t>
      </w:r>
      <w:r w:rsidRPr="00685F4B">
        <w:t>.</w:t>
      </w:r>
      <w:proofErr w:type="gramEnd"/>
      <w:r w:rsidRPr="00685F4B">
        <w:t xml:space="preserve"> </w:t>
      </w:r>
    </w:p>
  </w:footnote>
  <w:footnote w:id="2">
    <w:p w:rsidR="00E33D22" w:rsidRDefault="00E33D22" w:rsidP="00E33D22">
      <w:pPr>
        <w:pStyle w:val="FootnoteText"/>
      </w:pPr>
      <w:r>
        <w:rPr>
          <w:rStyle w:val="FootnoteReference"/>
        </w:rPr>
        <w:footnoteRef/>
      </w:r>
      <w:r>
        <w:t xml:space="preserve"> See “Report to Congress on Estimated Need For </w:t>
      </w:r>
      <w:r w:rsidR="00240CF9">
        <w:t>Tribal</w:t>
      </w:r>
      <w:r>
        <w:t xml:space="preserve"> and Indian Health Service Health Care Facilities,” submitted by the Indian Health Service, circa March 2011. 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BFA"/>
    <w:multiLevelType w:val="hybridMultilevel"/>
    <w:tmpl w:val="B9F8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C7774"/>
    <w:multiLevelType w:val="hybridMultilevel"/>
    <w:tmpl w:val="AEB04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15"/>
    <w:rsid w:val="000239C4"/>
    <w:rsid w:val="000474A2"/>
    <w:rsid w:val="000511F4"/>
    <w:rsid w:val="000545DF"/>
    <w:rsid w:val="00084036"/>
    <w:rsid w:val="000B3CA9"/>
    <w:rsid w:val="000F14D9"/>
    <w:rsid w:val="000F546E"/>
    <w:rsid w:val="00111B7B"/>
    <w:rsid w:val="0011237E"/>
    <w:rsid w:val="00123647"/>
    <w:rsid w:val="00127C71"/>
    <w:rsid w:val="001343FA"/>
    <w:rsid w:val="0016163B"/>
    <w:rsid w:val="00164ADC"/>
    <w:rsid w:val="001735FF"/>
    <w:rsid w:val="001745F6"/>
    <w:rsid w:val="00190DE1"/>
    <w:rsid w:val="001A5CFA"/>
    <w:rsid w:val="001F6E2D"/>
    <w:rsid w:val="0020618E"/>
    <w:rsid w:val="00217D96"/>
    <w:rsid w:val="00226D1A"/>
    <w:rsid w:val="00233255"/>
    <w:rsid w:val="00240CF9"/>
    <w:rsid w:val="002443C0"/>
    <w:rsid w:val="00275A56"/>
    <w:rsid w:val="00277963"/>
    <w:rsid w:val="00280A11"/>
    <w:rsid w:val="002A2256"/>
    <w:rsid w:val="002E6299"/>
    <w:rsid w:val="003468F5"/>
    <w:rsid w:val="0036089D"/>
    <w:rsid w:val="0038657A"/>
    <w:rsid w:val="00390F1F"/>
    <w:rsid w:val="00394205"/>
    <w:rsid w:val="003B1556"/>
    <w:rsid w:val="003E0704"/>
    <w:rsid w:val="003E298A"/>
    <w:rsid w:val="00404910"/>
    <w:rsid w:val="00430622"/>
    <w:rsid w:val="00440099"/>
    <w:rsid w:val="004411F0"/>
    <w:rsid w:val="00456D53"/>
    <w:rsid w:val="004707B7"/>
    <w:rsid w:val="004A2247"/>
    <w:rsid w:val="004D3B0F"/>
    <w:rsid w:val="004E3D1D"/>
    <w:rsid w:val="004E5E02"/>
    <w:rsid w:val="00507326"/>
    <w:rsid w:val="00510F10"/>
    <w:rsid w:val="00513C77"/>
    <w:rsid w:val="005207EE"/>
    <w:rsid w:val="00523F12"/>
    <w:rsid w:val="00524C09"/>
    <w:rsid w:val="0054708A"/>
    <w:rsid w:val="0055034E"/>
    <w:rsid w:val="0057104F"/>
    <w:rsid w:val="005B46E8"/>
    <w:rsid w:val="005E037F"/>
    <w:rsid w:val="006009FD"/>
    <w:rsid w:val="0060797B"/>
    <w:rsid w:val="00610E3A"/>
    <w:rsid w:val="00624147"/>
    <w:rsid w:val="006301C5"/>
    <w:rsid w:val="006356BE"/>
    <w:rsid w:val="006450D0"/>
    <w:rsid w:val="00645136"/>
    <w:rsid w:val="0065251B"/>
    <w:rsid w:val="00657974"/>
    <w:rsid w:val="00660578"/>
    <w:rsid w:val="00660710"/>
    <w:rsid w:val="006754DD"/>
    <w:rsid w:val="00685F4B"/>
    <w:rsid w:val="00687195"/>
    <w:rsid w:val="00691FDC"/>
    <w:rsid w:val="00693882"/>
    <w:rsid w:val="00694558"/>
    <w:rsid w:val="006A0C1F"/>
    <w:rsid w:val="006A2536"/>
    <w:rsid w:val="006A6163"/>
    <w:rsid w:val="006B1500"/>
    <w:rsid w:val="006C29AE"/>
    <w:rsid w:val="006E510D"/>
    <w:rsid w:val="006F6242"/>
    <w:rsid w:val="00710D0F"/>
    <w:rsid w:val="00711D57"/>
    <w:rsid w:val="00721A16"/>
    <w:rsid w:val="00743B0D"/>
    <w:rsid w:val="00760B6F"/>
    <w:rsid w:val="007701B7"/>
    <w:rsid w:val="007A0F3D"/>
    <w:rsid w:val="007A53A9"/>
    <w:rsid w:val="007B0284"/>
    <w:rsid w:val="007D1744"/>
    <w:rsid w:val="00811A8B"/>
    <w:rsid w:val="00811DB4"/>
    <w:rsid w:val="00820704"/>
    <w:rsid w:val="00830847"/>
    <w:rsid w:val="00856F7D"/>
    <w:rsid w:val="0087095C"/>
    <w:rsid w:val="00873CC0"/>
    <w:rsid w:val="008751F5"/>
    <w:rsid w:val="008B40D5"/>
    <w:rsid w:val="008C1634"/>
    <w:rsid w:val="008D193C"/>
    <w:rsid w:val="008D5817"/>
    <w:rsid w:val="008F2A75"/>
    <w:rsid w:val="00963AD5"/>
    <w:rsid w:val="00984E76"/>
    <w:rsid w:val="009A5D34"/>
    <w:rsid w:val="009B2D57"/>
    <w:rsid w:val="009C6344"/>
    <w:rsid w:val="009D2E1F"/>
    <w:rsid w:val="009E22EC"/>
    <w:rsid w:val="009F1065"/>
    <w:rsid w:val="009F5857"/>
    <w:rsid w:val="00A1448B"/>
    <w:rsid w:val="00A273BF"/>
    <w:rsid w:val="00A32ECC"/>
    <w:rsid w:val="00AC0975"/>
    <w:rsid w:val="00AD0C44"/>
    <w:rsid w:val="00B02F19"/>
    <w:rsid w:val="00B11B56"/>
    <w:rsid w:val="00B228D2"/>
    <w:rsid w:val="00B33552"/>
    <w:rsid w:val="00B50F46"/>
    <w:rsid w:val="00B513C7"/>
    <w:rsid w:val="00B615D9"/>
    <w:rsid w:val="00B61A47"/>
    <w:rsid w:val="00B65CDB"/>
    <w:rsid w:val="00B8533B"/>
    <w:rsid w:val="00B93B6B"/>
    <w:rsid w:val="00BB6FA0"/>
    <w:rsid w:val="00BC6DAB"/>
    <w:rsid w:val="00BE6154"/>
    <w:rsid w:val="00BE7DDB"/>
    <w:rsid w:val="00BF1299"/>
    <w:rsid w:val="00C13662"/>
    <w:rsid w:val="00C24F94"/>
    <w:rsid w:val="00C458C6"/>
    <w:rsid w:val="00C54ECB"/>
    <w:rsid w:val="00C648D4"/>
    <w:rsid w:val="00C711EB"/>
    <w:rsid w:val="00C73D57"/>
    <w:rsid w:val="00C8225C"/>
    <w:rsid w:val="00C90C06"/>
    <w:rsid w:val="00C97EB2"/>
    <w:rsid w:val="00CA04E6"/>
    <w:rsid w:val="00CB58CA"/>
    <w:rsid w:val="00CC21EA"/>
    <w:rsid w:val="00CD052F"/>
    <w:rsid w:val="00CD5570"/>
    <w:rsid w:val="00CE59DB"/>
    <w:rsid w:val="00D303BA"/>
    <w:rsid w:val="00D453D8"/>
    <w:rsid w:val="00D527E7"/>
    <w:rsid w:val="00D544B4"/>
    <w:rsid w:val="00D550E0"/>
    <w:rsid w:val="00D71525"/>
    <w:rsid w:val="00D71AB0"/>
    <w:rsid w:val="00D8614D"/>
    <w:rsid w:val="00DC736E"/>
    <w:rsid w:val="00E25690"/>
    <w:rsid w:val="00E33D22"/>
    <w:rsid w:val="00E355B9"/>
    <w:rsid w:val="00E36A36"/>
    <w:rsid w:val="00E40FCB"/>
    <w:rsid w:val="00E435D2"/>
    <w:rsid w:val="00E46872"/>
    <w:rsid w:val="00E622AD"/>
    <w:rsid w:val="00E74384"/>
    <w:rsid w:val="00EB0F0B"/>
    <w:rsid w:val="00EB51D9"/>
    <w:rsid w:val="00EC35F6"/>
    <w:rsid w:val="00EC5C15"/>
    <w:rsid w:val="00ED31AA"/>
    <w:rsid w:val="00EE6756"/>
    <w:rsid w:val="00EE7664"/>
    <w:rsid w:val="00EF22FE"/>
    <w:rsid w:val="00F06048"/>
    <w:rsid w:val="00F4367A"/>
    <w:rsid w:val="00F5532F"/>
    <w:rsid w:val="00F62151"/>
    <w:rsid w:val="00F70934"/>
    <w:rsid w:val="00F85937"/>
    <w:rsid w:val="00F955A7"/>
    <w:rsid w:val="00F9665B"/>
    <w:rsid w:val="00FA0107"/>
    <w:rsid w:val="00FB6501"/>
    <w:rsid w:val="00F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C1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C5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5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B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85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5F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F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5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C1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C5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5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B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85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5F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F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6099-BD2C-A74E-BC37-DA4EFE1B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4709</Characters>
  <Application>Microsoft Macintosh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Rural Indian Health Board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OEDMLEBEAU;Stevenson, Sunny (CRIHB)</dc:creator>
  <cp:lastModifiedBy>Laura Bird</cp:lastModifiedBy>
  <cp:revision>2</cp:revision>
  <cp:lastPrinted>2015-07-05T22:16:00Z</cp:lastPrinted>
  <dcterms:created xsi:type="dcterms:W3CDTF">2017-07-06T15:52:00Z</dcterms:created>
  <dcterms:modified xsi:type="dcterms:W3CDTF">2017-07-06T15:52:00Z</dcterms:modified>
</cp:coreProperties>
</file>