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1B" w:rsidRPr="00151C38" w:rsidRDefault="00C52CA2" w:rsidP="006F71A0">
      <w:pPr>
        <w:spacing w:after="0" w:line="240" w:lineRule="auto"/>
        <w:jc w:val="center"/>
        <w:rPr>
          <w:rFonts w:ascii="Calibri" w:eastAsia="Times New Roman" w:hAnsi="Calibri" w:cs="Times New Roman"/>
          <w:b/>
          <w:sz w:val="24"/>
        </w:rPr>
      </w:pPr>
      <w:r w:rsidRPr="00151C38">
        <w:rPr>
          <w:rFonts w:ascii="Calibri" w:eastAsia="Times New Roman" w:hAnsi="Calibri" w:cs="Times New Roman"/>
          <w:b/>
          <w:sz w:val="24"/>
        </w:rPr>
        <w:t xml:space="preserve">Sample </w:t>
      </w:r>
      <w:r w:rsidR="00E4791B" w:rsidRPr="00151C38">
        <w:rPr>
          <w:rFonts w:ascii="Calibri" w:eastAsia="Times New Roman" w:hAnsi="Calibri" w:cs="Times New Roman"/>
          <w:b/>
          <w:sz w:val="24"/>
        </w:rPr>
        <w:t xml:space="preserve">IRB </w:t>
      </w:r>
      <w:r w:rsidRPr="00151C38">
        <w:rPr>
          <w:rFonts w:ascii="Calibri" w:eastAsia="Times New Roman" w:hAnsi="Calibri" w:cs="Times New Roman"/>
          <w:b/>
          <w:sz w:val="24"/>
        </w:rPr>
        <w:t>p</w:t>
      </w:r>
      <w:r w:rsidR="00E4791B" w:rsidRPr="00151C38">
        <w:rPr>
          <w:rFonts w:ascii="Calibri" w:eastAsia="Times New Roman" w:hAnsi="Calibri" w:cs="Times New Roman"/>
          <w:b/>
          <w:sz w:val="24"/>
        </w:rPr>
        <w:t>rotocol</w:t>
      </w:r>
      <w:r w:rsidRPr="00151C38">
        <w:rPr>
          <w:rFonts w:ascii="Calibri" w:eastAsia="Times New Roman" w:hAnsi="Calibri" w:cs="Times New Roman"/>
          <w:b/>
          <w:sz w:val="24"/>
        </w:rPr>
        <w:t xml:space="preserve"> excerpt</w:t>
      </w:r>
      <w:r w:rsidR="00E4791B" w:rsidRPr="00151C38">
        <w:rPr>
          <w:rFonts w:ascii="Calibri" w:eastAsia="Times New Roman" w:hAnsi="Calibri" w:cs="Times New Roman"/>
          <w:b/>
          <w:sz w:val="24"/>
        </w:rPr>
        <w:t xml:space="preserve"> describing linkage methods</w:t>
      </w:r>
      <w:r w:rsidRPr="00151C38">
        <w:rPr>
          <w:rFonts w:ascii="Calibri" w:eastAsia="Times New Roman" w:hAnsi="Calibri" w:cs="Times New Roman"/>
          <w:b/>
          <w:sz w:val="24"/>
        </w:rPr>
        <w:t xml:space="preserve"> with Link</w:t>
      </w:r>
      <w:r w:rsidR="00151C38">
        <w:rPr>
          <w:rFonts w:ascii="Calibri" w:eastAsia="Times New Roman" w:hAnsi="Calibri" w:cs="Times New Roman"/>
          <w:b/>
          <w:sz w:val="24"/>
        </w:rPr>
        <w:t xml:space="preserve"> </w:t>
      </w:r>
      <w:r w:rsidRPr="00151C38">
        <w:rPr>
          <w:rFonts w:ascii="Calibri" w:eastAsia="Times New Roman" w:hAnsi="Calibri" w:cs="Times New Roman"/>
          <w:b/>
          <w:sz w:val="24"/>
        </w:rPr>
        <w:t>Plus software</w:t>
      </w:r>
    </w:p>
    <w:p w:rsidR="00E4791B" w:rsidRPr="00151C38" w:rsidRDefault="00E4791B" w:rsidP="00E4791B">
      <w:pPr>
        <w:spacing w:after="0" w:line="240" w:lineRule="auto"/>
        <w:rPr>
          <w:rFonts w:ascii="Calibri" w:eastAsia="Times New Roman" w:hAnsi="Calibri" w:cs="Times New Roman"/>
          <w:b/>
          <w:sz w:val="24"/>
        </w:rPr>
      </w:pPr>
      <w:bookmarkStart w:id="0" w:name="_GoBack"/>
      <w:bookmarkEnd w:id="0"/>
    </w:p>
    <w:p w:rsidR="00E4791B" w:rsidRPr="00151C38" w:rsidRDefault="00E4791B" w:rsidP="00E4791B">
      <w:pPr>
        <w:spacing w:after="0" w:line="240" w:lineRule="auto"/>
        <w:rPr>
          <w:rFonts w:ascii="Calibri" w:eastAsia="Times New Roman" w:hAnsi="Calibri" w:cs="Times New Roman"/>
          <w:smallCaps/>
          <w:sz w:val="24"/>
          <w:u w:val="single"/>
        </w:rPr>
      </w:pPr>
      <w:r w:rsidRPr="00151C38">
        <w:rPr>
          <w:rFonts w:ascii="Calibri" w:eastAsia="Times New Roman" w:hAnsi="Calibri" w:cs="Times New Roman"/>
          <w:smallCaps/>
          <w:sz w:val="24"/>
          <w:u w:val="single"/>
        </w:rPr>
        <w:t>Data</w:t>
      </w:r>
      <w:r w:rsidR="00E731E9" w:rsidRPr="00151C38">
        <w:rPr>
          <w:rFonts w:ascii="Calibri" w:eastAsia="Times New Roman" w:hAnsi="Calibri" w:cs="Times New Roman"/>
          <w:smallCaps/>
          <w:sz w:val="24"/>
          <w:u w:val="single"/>
        </w:rPr>
        <w:t xml:space="preserve"> Sources</w:t>
      </w:r>
    </w:p>
    <w:p w:rsidR="00E4791B" w:rsidRPr="00151C38" w:rsidRDefault="00C52CA2" w:rsidP="00E4791B">
      <w:pPr>
        <w:spacing w:after="0" w:line="240" w:lineRule="auto"/>
        <w:rPr>
          <w:rFonts w:ascii="Calibri" w:eastAsia="Times New Roman" w:hAnsi="Calibri" w:cs="Times New Roman"/>
          <w:sz w:val="24"/>
        </w:rPr>
      </w:pPr>
      <w:r w:rsidRPr="00151C38">
        <w:rPr>
          <w:rFonts w:ascii="Calibri" w:eastAsia="Times New Roman" w:hAnsi="Calibri" w:cs="Times New Roman"/>
          <w:sz w:val="24"/>
        </w:rPr>
        <w:t>Descripti</w:t>
      </w:r>
      <w:r w:rsidR="00E731E9" w:rsidRPr="00151C38">
        <w:rPr>
          <w:rFonts w:ascii="Calibri" w:eastAsia="Times New Roman" w:hAnsi="Calibri" w:cs="Times New Roman"/>
          <w:sz w:val="24"/>
        </w:rPr>
        <w:t>on of data sources to be linked. Describe source and ownership of data, date ranges,</w:t>
      </w:r>
      <w:r w:rsidRPr="00151C38">
        <w:rPr>
          <w:rFonts w:ascii="Calibri" w:eastAsia="Times New Roman" w:hAnsi="Calibri" w:cs="Times New Roman"/>
          <w:sz w:val="24"/>
        </w:rPr>
        <w:t xml:space="preserve"> </w:t>
      </w:r>
      <w:r w:rsidR="00E731E9" w:rsidRPr="00151C38">
        <w:rPr>
          <w:rFonts w:ascii="Calibri" w:eastAsia="Times New Roman" w:hAnsi="Calibri" w:cs="Times New Roman"/>
          <w:sz w:val="24"/>
        </w:rPr>
        <w:t>approximate</w:t>
      </w:r>
      <w:r w:rsidRPr="00151C38">
        <w:rPr>
          <w:rFonts w:ascii="Calibri" w:eastAsia="Times New Roman" w:hAnsi="Calibri" w:cs="Times New Roman"/>
          <w:sz w:val="24"/>
        </w:rPr>
        <w:t xml:space="preserve"> number of </w:t>
      </w:r>
      <w:proofErr w:type="gramStart"/>
      <w:r w:rsidRPr="00151C38">
        <w:rPr>
          <w:rFonts w:ascii="Calibri" w:eastAsia="Times New Roman" w:hAnsi="Calibri" w:cs="Times New Roman"/>
          <w:sz w:val="24"/>
        </w:rPr>
        <w:t>records,</w:t>
      </w:r>
      <w:proofErr w:type="gramEnd"/>
      <w:r w:rsidRPr="00151C38">
        <w:rPr>
          <w:rFonts w:ascii="Calibri" w:eastAsia="Times New Roman" w:hAnsi="Calibri" w:cs="Times New Roman"/>
          <w:sz w:val="24"/>
        </w:rPr>
        <w:t xml:space="preserve"> and </w:t>
      </w:r>
      <w:r w:rsidR="00E731E9" w:rsidRPr="00151C38">
        <w:rPr>
          <w:rFonts w:ascii="Calibri" w:eastAsia="Times New Roman" w:hAnsi="Calibri" w:cs="Times New Roman"/>
          <w:sz w:val="24"/>
        </w:rPr>
        <w:t xml:space="preserve">data </w:t>
      </w:r>
      <w:r w:rsidRPr="00151C38">
        <w:rPr>
          <w:rFonts w:ascii="Calibri" w:eastAsia="Times New Roman" w:hAnsi="Calibri" w:cs="Times New Roman"/>
          <w:sz w:val="24"/>
        </w:rPr>
        <w:t>fields available for matching.</w:t>
      </w:r>
    </w:p>
    <w:p w:rsidR="00E4791B" w:rsidRPr="00151C38" w:rsidRDefault="00E4791B" w:rsidP="00E4791B">
      <w:pPr>
        <w:spacing w:after="0" w:line="240" w:lineRule="auto"/>
        <w:rPr>
          <w:rFonts w:ascii="Calibri" w:eastAsia="Times New Roman" w:hAnsi="Calibri" w:cs="Times New Roman"/>
          <w:sz w:val="24"/>
        </w:rPr>
      </w:pPr>
    </w:p>
    <w:p w:rsidR="00E731E9" w:rsidRDefault="00E4791B" w:rsidP="00E4791B">
      <w:pPr>
        <w:spacing w:after="0" w:line="240" w:lineRule="auto"/>
        <w:rPr>
          <w:rFonts w:ascii="Calibri" w:eastAsia="Times New Roman" w:hAnsi="Calibri" w:cs="Times New Roman"/>
          <w:smallCaps/>
          <w:sz w:val="24"/>
          <w:u w:val="single"/>
        </w:rPr>
      </w:pPr>
      <w:r w:rsidRPr="00151C38">
        <w:rPr>
          <w:rFonts w:ascii="Calibri" w:eastAsia="Times New Roman" w:hAnsi="Calibri" w:cs="Times New Roman"/>
          <w:smallCaps/>
          <w:sz w:val="24"/>
          <w:u w:val="single"/>
        </w:rPr>
        <w:t>Record Linkage</w:t>
      </w:r>
    </w:p>
    <w:p w:rsidR="00C24C1E" w:rsidRPr="00151C38" w:rsidRDefault="00C24C1E" w:rsidP="00C24C1E">
      <w:pPr>
        <w:pStyle w:val="ListParagraph"/>
        <w:numPr>
          <w:ilvl w:val="0"/>
          <w:numId w:val="5"/>
        </w:numPr>
        <w:spacing w:after="0" w:line="240" w:lineRule="auto"/>
        <w:rPr>
          <w:rFonts w:ascii="Calibri" w:eastAsia="Times New Roman" w:hAnsi="Calibri" w:cs="Times New Roman"/>
          <w:smallCaps/>
          <w:sz w:val="24"/>
          <w:u w:val="single"/>
        </w:rPr>
      </w:pPr>
      <w:r w:rsidRPr="00151C38">
        <w:rPr>
          <w:rFonts w:ascii="Calibri" w:eastAsia="Times New Roman" w:hAnsi="Calibri" w:cs="Times New Roman"/>
          <w:sz w:val="24"/>
        </w:rPr>
        <w:t xml:space="preserve">Description of staff members &amp; roles. </w:t>
      </w:r>
    </w:p>
    <w:p w:rsidR="00C24C1E" w:rsidRPr="00151C38" w:rsidRDefault="00C24C1E" w:rsidP="00C24C1E">
      <w:pPr>
        <w:pStyle w:val="ListParagraph"/>
        <w:numPr>
          <w:ilvl w:val="0"/>
          <w:numId w:val="5"/>
        </w:numPr>
        <w:spacing w:after="0" w:line="240" w:lineRule="auto"/>
        <w:rPr>
          <w:rFonts w:ascii="Calibri" w:eastAsia="Times New Roman" w:hAnsi="Calibri" w:cs="Times New Roman"/>
          <w:smallCaps/>
          <w:sz w:val="24"/>
          <w:u w:val="single"/>
        </w:rPr>
      </w:pPr>
      <w:r w:rsidRPr="00151C38">
        <w:rPr>
          <w:rFonts w:ascii="Calibri" w:eastAsia="Times New Roman" w:hAnsi="Calibri" w:cs="Times New Roman"/>
          <w:sz w:val="24"/>
        </w:rPr>
        <w:t>Prepare data sets to be linked (with a description of who will prepare each data set, how and where they will be stored in preparation for linkage).</w:t>
      </w:r>
    </w:p>
    <w:p w:rsidR="00C24C1E" w:rsidRDefault="00C24C1E" w:rsidP="00C24C1E">
      <w:pPr>
        <w:pStyle w:val="ListParagraph"/>
        <w:spacing w:after="0" w:line="240" w:lineRule="auto"/>
        <w:rPr>
          <w:rFonts w:ascii="Calibri" w:eastAsia="Times New Roman" w:hAnsi="Calibri" w:cs="Times New Roman"/>
        </w:rPr>
      </w:pPr>
    </w:p>
    <w:p w:rsidR="00C24C1E" w:rsidRPr="00C24C1E" w:rsidRDefault="00C24C1E" w:rsidP="00C24C1E">
      <w:pPr>
        <w:pStyle w:val="ListParagraph"/>
        <w:spacing w:after="0" w:line="240" w:lineRule="auto"/>
        <w:rPr>
          <w:rFonts w:ascii="Calibri" w:eastAsia="Times New Roman" w:hAnsi="Calibri" w:cs="Times New Roman"/>
        </w:rPr>
      </w:pPr>
      <w:r w:rsidRPr="00C24C1E">
        <w:rPr>
          <w:rFonts w:ascii="Calibri" w:eastAsia="Times New Roman" w:hAnsi="Calibri" w:cs="Times New Roman"/>
        </w:rPr>
        <w:t>To allow for increased efficiency and maximum probability scores, we will attempt to make blocking and matching fi</w:t>
      </w:r>
      <w:r>
        <w:rPr>
          <w:rFonts w:ascii="Calibri" w:eastAsia="Times New Roman" w:hAnsi="Calibri" w:cs="Times New Roman"/>
        </w:rPr>
        <w:t xml:space="preserve">elds as comparable as possible. </w:t>
      </w:r>
      <w:r w:rsidRPr="00C24C1E">
        <w:rPr>
          <w:rFonts w:ascii="Calibri" w:eastAsia="Times New Roman" w:hAnsi="Calibri" w:cs="Times New Roman"/>
        </w:rPr>
        <w:t>Data in each file will be cleaned to minimize data errors (i.e., nonsense records) and to standardize fields, such as date formats and middle initial/middle name fields</w:t>
      </w:r>
      <w:r>
        <w:rPr>
          <w:rFonts w:ascii="Calibri" w:eastAsia="Times New Roman" w:hAnsi="Calibri" w:cs="Times New Roman"/>
        </w:rPr>
        <w:t>. Data preparation steps will be completed in SAS software, before each data set being exported as a &lt;fixed width/delimited&gt; text file for use by Link</w:t>
      </w:r>
      <w:r w:rsidR="00F94C93">
        <w:rPr>
          <w:rFonts w:ascii="Calibri" w:eastAsia="Times New Roman" w:hAnsi="Calibri" w:cs="Times New Roman"/>
        </w:rPr>
        <w:t xml:space="preserve"> </w:t>
      </w:r>
      <w:r>
        <w:rPr>
          <w:rFonts w:ascii="Calibri" w:eastAsia="Times New Roman" w:hAnsi="Calibri" w:cs="Times New Roman"/>
        </w:rPr>
        <w:t>Plus.</w:t>
      </w:r>
    </w:p>
    <w:p w:rsidR="00C24C1E" w:rsidRPr="00C24C1E" w:rsidRDefault="00C24C1E" w:rsidP="00C24C1E">
      <w:pPr>
        <w:spacing w:after="0" w:line="240" w:lineRule="auto"/>
        <w:rPr>
          <w:rFonts w:ascii="Calibri" w:eastAsia="Times New Roman" w:hAnsi="Calibri" w:cs="Times New Roman"/>
          <w:smallCaps/>
          <w:u w:val="single"/>
        </w:rPr>
      </w:pPr>
    </w:p>
    <w:p w:rsidR="00C24C1E" w:rsidRPr="00151C38" w:rsidRDefault="00C24C1E" w:rsidP="00C24C1E">
      <w:pPr>
        <w:pStyle w:val="ListParagraph"/>
        <w:numPr>
          <w:ilvl w:val="0"/>
          <w:numId w:val="5"/>
        </w:numPr>
        <w:spacing w:after="0" w:line="240" w:lineRule="auto"/>
        <w:rPr>
          <w:rFonts w:ascii="Calibri" w:eastAsia="Times New Roman" w:hAnsi="Calibri" w:cs="Times New Roman"/>
          <w:sz w:val="24"/>
        </w:rPr>
      </w:pPr>
      <w:r w:rsidRPr="00151C38">
        <w:rPr>
          <w:rFonts w:ascii="Calibri" w:eastAsia="Times New Roman" w:hAnsi="Calibri" w:cs="Times New Roman"/>
          <w:sz w:val="24"/>
        </w:rPr>
        <w:t>Linkage</w:t>
      </w:r>
    </w:p>
    <w:p w:rsidR="00C24C1E" w:rsidRDefault="00C24C1E" w:rsidP="00C24C1E">
      <w:pPr>
        <w:pStyle w:val="ListParagraph"/>
        <w:spacing w:after="0" w:line="240" w:lineRule="auto"/>
        <w:rPr>
          <w:rFonts w:ascii="Calibri" w:eastAsia="Times New Roman" w:hAnsi="Calibri" w:cs="Times New Roman"/>
        </w:rPr>
      </w:pPr>
    </w:p>
    <w:p w:rsidR="00E4791B" w:rsidRPr="00C24C1E" w:rsidRDefault="00E4791B" w:rsidP="00C24C1E">
      <w:pPr>
        <w:pStyle w:val="ListParagraph"/>
        <w:spacing w:after="0" w:line="240" w:lineRule="auto"/>
        <w:rPr>
          <w:rFonts w:ascii="Calibri" w:eastAsia="Times New Roman" w:hAnsi="Calibri" w:cs="Times New Roman"/>
        </w:rPr>
      </w:pPr>
      <w:r w:rsidRPr="00C24C1E">
        <w:rPr>
          <w:rFonts w:ascii="Calibri" w:eastAsia="Times New Roman" w:hAnsi="Calibri" w:cs="Times New Roman"/>
        </w:rPr>
        <w:t>We will use the linkage software Link</w:t>
      </w:r>
      <w:r w:rsidR="00F94C93">
        <w:rPr>
          <w:rFonts w:ascii="Calibri" w:eastAsia="Times New Roman" w:hAnsi="Calibri" w:cs="Times New Roman"/>
        </w:rPr>
        <w:t xml:space="preserve"> </w:t>
      </w:r>
      <w:r w:rsidRPr="00C24C1E">
        <w:rPr>
          <w:rFonts w:ascii="Calibri" w:eastAsia="Times New Roman" w:hAnsi="Calibri" w:cs="Times New Roman"/>
        </w:rPr>
        <w:t>Plus,</w:t>
      </w:r>
      <w:r w:rsidR="00F94C93">
        <w:rPr>
          <w:rFonts w:ascii="Calibri" w:eastAsia="Times New Roman" w:hAnsi="Calibri" w:cs="Times New Roman"/>
        </w:rPr>
        <w:t xml:space="preserve"> a program developed by CDC for use </w:t>
      </w:r>
      <w:r w:rsidR="00EA15A0">
        <w:rPr>
          <w:rFonts w:ascii="Calibri" w:eastAsia="Times New Roman" w:hAnsi="Calibri" w:cs="Times New Roman"/>
        </w:rPr>
        <w:t>by the</w:t>
      </w:r>
      <w:r w:rsidRPr="00C24C1E">
        <w:rPr>
          <w:rFonts w:ascii="Calibri" w:eastAsia="Times New Roman" w:hAnsi="Calibri" w:cs="Times New Roman"/>
        </w:rPr>
        <w:t xml:space="preserve"> National Program of Cancer Registries. </w:t>
      </w:r>
      <w:r w:rsidR="00F94C93">
        <w:rPr>
          <w:rFonts w:ascii="Calibri" w:eastAsia="Times New Roman" w:hAnsi="Calibri" w:cs="Times New Roman"/>
        </w:rPr>
        <w:t xml:space="preserve">Link Plus runs in a Microsoft Windows environment and can be used with any data type, provided they are </w:t>
      </w:r>
      <w:r w:rsidR="00EA15A0">
        <w:rPr>
          <w:rFonts w:ascii="Calibri" w:eastAsia="Times New Roman" w:hAnsi="Calibri" w:cs="Times New Roman"/>
        </w:rPr>
        <w:t xml:space="preserve">in a </w:t>
      </w:r>
      <w:r w:rsidR="00F94C93">
        <w:rPr>
          <w:rFonts w:ascii="Calibri" w:eastAsia="Times New Roman" w:hAnsi="Calibri" w:cs="Times New Roman"/>
        </w:rPr>
        <w:t xml:space="preserve">delimited or fixed-width text </w:t>
      </w:r>
      <w:r w:rsidR="00EA15A0">
        <w:rPr>
          <w:rFonts w:ascii="Calibri" w:eastAsia="Times New Roman" w:hAnsi="Calibri" w:cs="Times New Roman"/>
        </w:rPr>
        <w:t>format</w:t>
      </w:r>
      <w:r w:rsidR="00F94C93">
        <w:rPr>
          <w:rFonts w:ascii="Calibri" w:eastAsia="Times New Roman" w:hAnsi="Calibri" w:cs="Times New Roman"/>
        </w:rPr>
        <w:t xml:space="preserve">. </w:t>
      </w:r>
      <w:r w:rsidRPr="00C24C1E">
        <w:rPr>
          <w:rFonts w:ascii="Calibri" w:eastAsia="Times New Roman" w:hAnsi="Calibri" w:cs="Times New Roman"/>
        </w:rPr>
        <w:t>Link</w:t>
      </w:r>
      <w:r w:rsidR="00F94C93">
        <w:rPr>
          <w:rFonts w:ascii="Calibri" w:eastAsia="Times New Roman" w:hAnsi="Calibri" w:cs="Times New Roman"/>
        </w:rPr>
        <w:t xml:space="preserve"> </w:t>
      </w:r>
      <w:r w:rsidRPr="00C24C1E">
        <w:rPr>
          <w:rFonts w:ascii="Calibri" w:eastAsia="Times New Roman" w:hAnsi="Calibri" w:cs="Times New Roman"/>
        </w:rPr>
        <w:t>Plus employs probabilistic record linkage algorithms to identify matching records across two files and/or detect duplicate records in a single data file (</w:t>
      </w:r>
      <w:proofErr w:type="spellStart"/>
      <w:r w:rsidRPr="00C24C1E">
        <w:rPr>
          <w:rFonts w:ascii="Calibri" w:eastAsia="Times New Roman" w:hAnsi="Calibri" w:cs="Times New Roman"/>
        </w:rPr>
        <w:t>deduplication</w:t>
      </w:r>
      <w:proofErr w:type="spellEnd"/>
      <w:r w:rsidRPr="00C24C1E">
        <w:rPr>
          <w:rFonts w:ascii="Calibri" w:eastAsia="Times New Roman" w:hAnsi="Calibri" w:cs="Times New Roman"/>
        </w:rPr>
        <w:t>). Link</w:t>
      </w:r>
      <w:r w:rsidR="00F94C93">
        <w:rPr>
          <w:rFonts w:ascii="Calibri" w:eastAsia="Times New Roman" w:hAnsi="Calibri" w:cs="Times New Roman"/>
        </w:rPr>
        <w:t xml:space="preserve"> </w:t>
      </w:r>
      <w:r w:rsidRPr="00C24C1E">
        <w:rPr>
          <w:rFonts w:ascii="Calibri" w:eastAsia="Times New Roman" w:hAnsi="Calibri" w:cs="Times New Roman"/>
        </w:rPr>
        <w:t xml:space="preserve">Plus has ability to identify not only deterministic matches in </w:t>
      </w:r>
      <w:proofErr w:type="gramStart"/>
      <w:r w:rsidRPr="00C24C1E">
        <w:rPr>
          <w:rFonts w:ascii="Calibri" w:eastAsia="Times New Roman" w:hAnsi="Calibri" w:cs="Times New Roman"/>
        </w:rPr>
        <w:t>which</w:t>
      </w:r>
      <w:proofErr w:type="gramEnd"/>
      <w:r w:rsidRPr="00C24C1E">
        <w:rPr>
          <w:rFonts w:ascii="Calibri" w:eastAsia="Times New Roman" w:hAnsi="Calibri" w:cs="Times New Roman"/>
        </w:rPr>
        <w:t xml:space="preserve"> comparison fields are exactly identical between the two files, but also possible matches in situations where minor differences exist between the two records (e.g., transposed digits in a social security number, missing data, or misspellings of a name).  Match scores are assigned for each potential match pair based on the defined linkage algorithm; higher scores indicate greater </w:t>
      </w:r>
      <w:r w:rsidR="00C24C1E">
        <w:rPr>
          <w:rFonts w:ascii="Calibri" w:eastAsia="Times New Roman" w:hAnsi="Calibri" w:cs="Times New Roman"/>
        </w:rPr>
        <w:t>probability of a match.  Table 1</w:t>
      </w:r>
      <w:r w:rsidRPr="00C24C1E">
        <w:rPr>
          <w:rFonts w:ascii="Calibri" w:eastAsia="Times New Roman" w:hAnsi="Calibri" w:cs="Times New Roman"/>
        </w:rPr>
        <w:t xml:space="preserve"> defines basic terms and concepts used in the linkage process, and </w:t>
      </w:r>
      <w:r w:rsidR="00D672EA">
        <w:rPr>
          <w:rFonts w:ascii="Calibri" w:eastAsia="Times New Roman" w:hAnsi="Calibri" w:cs="Times New Roman"/>
        </w:rPr>
        <w:t>summarizes our use of them for the current project</w:t>
      </w:r>
      <w:r w:rsidRPr="00C24C1E">
        <w:rPr>
          <w:rFonts w:ascii="Calibri" w:eastAsia="Times New Roman" w:hAnsi="Calibri" w:cs="Times New Roman"/>
        </w:rPr>
        <w:t>.</w:t>
      </w:r>
    </w:p>
    <w:p w:rsidR="00E731E9" w:rsidRDefault="00E731E9" w:rsidP="00E4791B">
      <w:pPr>
        <w:spacing w:after="0" w:line="240" w:lineRule="auto"/>
        <w:rPr>
          <w:rFonts w:ascii="Calibri" w:eastAsia="Times New Roman" w:hAnsi="Calibri" w:cs="Times New Roman"/>
        </w:rPr>
      </w:pPr>
    </w:p>
    <w:p w:rsidR="00E4791B" w:rsidRPr="00E4791B" w:rsidRDefault="00BD438B" w:rsidP="00BD438B">
      <w:pPr>
        <w:spacing w:after="0" w:line="240" w:lineRule="auto"/>
        <w:ind w:left="720"/>
        <w:rPr>
          <w:rFonts w:ascii="Calibri" w:eastAsia="Times New Roman" w:hAnsi="Calibri" w:cs="Times New Roman"/>
        </w:rPr>
      </w:pPr>
      <w:r>
        <w:rPr>
          <w:rFonts w:ascii="Calibri" w:eastAsia="Times New Roman" w:hAnsi="Calibri" w:cs="Times New Roman"/>
        </w:rPr>
        <w:t>The l</w:t>
      </w:r>
      <w:r w:rsidR="00E4791B" w:rsidRPr="00E4791B">
        <w:rPr>
          <w:rFonts w:ascii="Calibri" w:eastAsia="Times New Roman" w:hAnsi="Calibri" w:cs="Times New Roman"/>
        </w:rPr>
        <w:t xml:space="preserve">inkage will be conducted by </w:t>
      </w:r>
      <w:r w:rsidR="00C52CA2">
        <w:rPr>
          <w:rFonts w:ascii="Calibri" w:eastAsia="Times New Roman" w:hAnsi="Calibri" w:cs="Times New Roman"/>
        </w:rPr>
        <w:t xml:space="preserve">trained project </w:t>
      </w:r>
      <w:r w:rsidR="00E4791B" w:rsidRPr="00E4791B">
        <w:rPr>
          <w:rFonts w:ascii="Calibri" w:eastAsia="Times New Roman" w:hAnsi="Calibri" w:cs="Times New Roman"/>
        </w:rPr>
        <w:t>staff and occur on</w:t>
      </w:r>
      <w:r w:rsidR="00C52CA2">
        <w:rPr>
          <w:rFonts w:ascii="Calibri" w:eastAsia="Times New Roman" w:hAnsi="Calibri" w:cs="Times New Roman"/>
        </w:rPr>
        <w:t>-site at &lt;location&gt;</w:t>
      </w:r>
      <w:r w:rsidR="00E4791B" w:rsidRPr="00E4791B">
        <w:rPr>
          <w:rFonts w:ascii="Calibri" w:eastAsia="Times New Roman" w:hAnsi="Calibri" w:cs="Times New Roman"/>
        </w:rPr>
        <w:t xml:space="preserve">. In this way, no confidential data elements contained in the partnering data system will need to leave the premises. This will also allow for transparency and collaboration between </w:t>
      </w:r>
      <w:r w:rsidR="00C52CA2">
        <w:rPr>
          <w:rFonts w:ascii="Calibri" w:eastAsia="Times New Roman" w:hAnsi="Calibri" w:cs="Times New Roman"/>
        </w:rPr>
        <w:t>Party1</w:t>
      </w:r>
      <w:r w:rsidR="00E4791B" w:rsidRPr="00E4791B">
        <w:rPr>
          <w:rFonts w:ascii="Calibri" w:eastAsia="Times New Roman" w:hAnsi="Calibri" w:cs="Times New Roman"/>
        </w:rPr>
        <w:t xml:space="preserve"> and </w:t>
      </w:r>
      <w:r w:rsidR="00C52CA2">
        <w:rPr>
          <w:rFonts w:ascii="Calibri" w:eastAsia="Times New Roman" w:hAnsi="Calibri" w:cs="Times New Roman"/>
        </w:rPr>
        <w:t>Party2</w:t>
      </w:r>
      <w:r w:rsidR="00E4791B" w:rsidRPr="00E4791B">
        <w:rPr>
          <w:rFonts w:ascii="Calibri" w:eastAsia="Times New Roman" w:hAnsi="Calibri" w:cs="Times New Roman"/>
        </w:rPr>
        <w:t xml:space="preserve"> throughout the process. We will conduct each record linkage </w:t>
      </w:r>
      <w:r w:rsidR="00C52CA2">
        <w:rPr>
          <w:rFonts w:ascii="Calibri" w:eastAsia="Times New Roman" w:hAnsi="Calibri" w:cs="Times New Roman"/>
        </w:rPr>
        <w:t>the project’s</w:t>
      </w:r>
      <w:r w:rsidR="00E4791B" w:rsidRPr="00E4791B">
        <w:rPr>
          <w:rFonts w:ascii="Calibri" w:eastAsia="Times New Roman" w:hAnsi="Calibri" w:cs="Times New Roman"/>
        </w:rPr>
        <w:t xml:space="preserve"> stand-alone laptop computer, which will not be connected to any network. The data file to be linked with will be transferred to a designated folder on the laptop for the linkage, and permanently deleted </w:t>
      </w:r>
      <w:r w:rsidR="00C52CA2">
        <w:rPr>
          <w:rFonts w:ascii="Calibri" w:eastAsia="Times New Roman" w:hAnsi="Calibri" w:cs="Times New Roman"/>
        </w:rPr>
        <w:t xml:space="preserve">(i.e., securely “wiped”) </w:t>
      </w:r>
      <w:r w:rsidR="00E4791B" w:rsidRPr="00E4791B">
        <w:rPr>
          <w:rFonts w:ascii="Calibri" w:eastAsia="Times New Roman" w:hAnsi="Calibri" w:cs="Times New Roman"/>
        </w:rPr>
        <w:t>from the computer’s memory prior to leaving the location.</w:t>
      </w:r>
    </w:p>
    <w:p w:rsidR="00BD438B" w:rsidRDefault="00BD438B" w:rsidP="00E4791B">
      <w:pPr>
        <w:spacing w:after="0" w:line="240" w:lineRule="auto"/>
        <w:rPr>
          <w:rFonts w:ascii="Calibri" w:eastAsia="Times New Roman" w:hAnsi="Calibri" w:cs="Times New Roman"/>
        </w:rPr>
      </w:pPr>
      <w:r>
        <w:rPr>
          <w:rFonts w:ascii="Calibri" w:eastAsia="Times New Roman" w:hAnsi="Calibri" w:cs="Times New Roman"/>
        </w:rPr>
        <w:tab/>
      </w:r>
    </w:p>
    <w:p w:rsidR="00BD438B" w:rsidRDefault="00BD438B" w:rsidP="00E4791B">
      <w:pPr>
        <w:spacing w:after="0" w:line="240" w:lineRule="auto"/>
        <w:rPr>
          <w:rFonts w:ascii="Calibri" w:eastAsia="Times New Roman" w:hAnsi="Calibri" w:cs="Times New Roman"/>
        </w:rPr>
      </w:pPr>
      <w:r>
        <w:rPr>
          <w:rFonts w:ascii="Calibri" w:eastAsia="Times New Roman" w:hAnsi="Calibri" w:cs="Times New Roman"/>
        </w:rPr>
        <w:tab/>
        <w:t>One pass will be performed:</w:t>
      </w:r>
    </w:p>
    <w:p w:rsidR="00BD438B" w:rsidRDefault="00BD438B" w:rsidP="00BD438B">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Both data files will be copied onto the designated computer loaded with Link Plus software.</w:t>
      </w:r>
    </w:p>
    <w:p w:rsidR="00E4791B" w:rsidRDefault="00BD438B" w:rsidP="00BD438B">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Both files will be imported into Link Plus, and the first several rows of data will be checked</w:t>
      </w:r>
      <w:r w:rsidR="00E4791B" w:rsidRPr="00BD438B">
        <w:rPr>
          <w:rFonts w:ascii="Calibri" w:eastAsia="Times New Roman" w:hAnsi="Calibri" w:cs="Times New Roman"/>
        </w:rPr>
        <w:t xml:space="preserve"> </w:t>
      </w:r>
      <w:r>
        <w:rPr>
          <w:rFonts w:ascii="Calibri" w:eastAsia="Times New Roman" w:hAnsi="Calibri" w:cs="Times New Roman"/>
        </w:rPr>
        <w:t xml:space="preserve">to ensure that all fields were read in and formatted properly. </w:t>
      </w:r>
    </w:p>
    <w:p w:rsidR="00BD438B" w:rsidRDefault="00BD438B" w:rsidP="00BD438B">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Blocking and matching parameters will be specified within the software:</w:t>
      </w:r>
    </w:p>
    <w:p w:rsidR="00BD438B" w:rsidRPr="00BD438B" w:rsidRDefault="00BD438B" w:rsidP="00BD438B">
      <w:pPr>
        <w:pStyle w:val="ListParagraph"/>
        <w:numPr>
          <w:ilvl w:val="0"/>
          <w:numId w:val="8"/>
        </w:numPr>
        <w:spacing w:after="0" w:line="240" w:lineRule="auto"/>
        <w:rPr>
          <w:rFonts w:ascii="Calibri" w:eastAsia="Times New Roman" w:hAnsi="Calibri" w:cs="Times New Roman"/>
        </w:rPr>
      </w:pPr>
      <w:r w:rsidRPr="00BD438B">
        <w:rPr>
          <w:rFonts w:ascii="Calibri" w:eastAsia="Times New Roman" w:hAnsi="Calibri" w:cs="Times New Roman"/>
        </w:rPr>
        <w:t>Blocking variables:</w:t>
      </w:r>
    </w:p>
    <w:p w:rsidR="00151C38" w:rsidRDefault="00BD438B"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Last name (NYSIIS phonetic system)</w:t>
      </w:r>
    </w:p>
    <w:p w:rsidR="00151C38" w:rsidRDefault="00BD438B"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lastRenderedPageBreak/>
        <w:t>First name (NYSIIS phonetic system)</w:t>
      </w:r>
    </w:p>
    <w:p w:rsidR="00151C38" w:rsidRDefault="00BD438B"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Date of birth</w:t>
      </w:r>
    </w:p>
    <w:p w:rsidR="00BD438B" w:rsidRPr="00151C38" w:rsidRDefault="00BD438B"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Social Security Number</w:t>
      </w:r>
    </w:p>
    <w:p w:rsidR="00151C38" w:rsidRDefault="00BD438B" w:rsidP="00151C38">
      <w:pPr>
        <w:pStyle w:val="ListParagraph"/>
        <w:numPr>
          <w:ilvl w:val="0"/>
          <w:numId w:val="8"/>
        </w:numPr>
        <w:spacing w:after="0" w:line="240" w:lineRule="auto"/>
        <w:rPr>
          <w:rFonts w:ascii="Calibri" w:eastAsia="Times New Roman" w:hAnsi="Calibri" w:cs="Times New Roman"/>
        </w:rPr>
      </w:pPr>
      <w:r w:rsidRPr="00BD438B">
        <w:rPr>
          <w:rFonts w:ascii="Calibri" w:eastAsia="Times New Roman" w:hAnsi="Calibri" w:cs="Times New Roman"/>
        </w:rPr>
        <w:t>Probabilistic matching variables</w:t>
      </w:r>
      <w:r>
        <w:rPr>
          <w:rFonts w:ascii="Calibri" w:eastAsia="Times New Roman" w:hAnsi="Calibri" w:cs="Times New Roman"/>
        </w:rPr>
        <w:t xml:space="preserve"> (with Link Plus matching method in parentheses)</w:t>
      </w:r>
      <w:r w:rsidRPr="00BD438B">
        <w:rPr>
          <w:rFonts w:ascii="Calibri" w:eastAsia="Times New Roman" w:hAnsi="Calibri" w:cs="Times New Roman"/>
        </w:rPr>
        <w:t>:</w:t>
      </w:r>
    </w:p>
    <w:p w:rsid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First name (first)</w:t>
      </w:r>
    </w:p>
    <w:p w:rsid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Last name (last)</w:t>
      </w:r>
    </w:p>
    <w:p w:rsid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Date of birth (date)</w:t>
      </w:r>
    </w:p>
    <w:p w:rsid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Social security number (SSN)</w:t>
      </w:r>
    </w:p>
    <w:p w:rsid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Sex (exact)</w:t>
      </w:r>
    </w:p>
    <w:p w:rsidR="00E36EDA" w:rsidRPr="00151C38" w:rsidRDefault="00E36EDA" w:rsidP="00151C38">
      <w:pPr>
        <w:pStyle w:val="ListParagraph"/>
        <w:numPr>
          <w:ilvl w:val="0"/>
          <w:numId w:val="14"/>
        </w:numPr>
        <w:spacing w:after="0" w:line="240" w:lineRule="auto"/>
        <w:rPr>
          <w:rFonts w:ascii="Calibri" w:eastAsia="Times New Roman" w:hAnsi="Calibri" w:cs="Times New Roman"/>
        </w:rPr>
      </w:pPr>
      <w:r w:rsidRPr="00151C38">
        <w:rPr>
          <w:rFonts w:ascii="Calibri" w:eastAsia="Times New Roman" w:hAnsi="Calibri" w:cs="Times New Roman"/>
        </w:rPr>
        <w:t>Address (generic string)</w:t>
      </w:r>
    </w:p>
    <w:p w:rsidR="00E36EDA" w:rsidRDefault="00E36EDA" w:rsidP="00E36EDA">
      <w:pPr>
        <w:pStyle w:val="ListParagraph"/>
        <w:numPr>
          <w:ilvl w:val="0"/>
          <w:numId w:val="6"/>
        </w:numPr>
        <w:spacing w:after="0" w:line="240" w:lineRule="auto"/>
        <w:rPr>
          <w:rFonts w:ascii="Calibri" w:eastAsia="Times New Roman" w:hAnsi="Calibri" w:cs="Times New Roman"/>
        </w:rPr>
      </w:pPr>
      <w:r w:rsidRPr="00E36EDA">
        <w:rPr>
          <w:rFonts w:ascii="Calibri" w:eastAsia="Times New Roman" w:hAnsi="Calibri" w:cs="Times New Roman"/>
        </w:rPr>
        <w:t>Missing values and date formats will be defined where appropriate</w:t>
      </w:r>
    </w:p>
    <w:p w:rsidR="00E36EDA" w:rsidRDefault="00E36EDA" w:rsidP="00E36EDA">
      <w:pPr>
        <w:pStyle w:val="ListParagraph"/>
        <w:numPr>
          <w:ilvl w:val="0"/>
          <w:numId w:val="6"/>
        </w:numPr>
        <w:spacing w:after="0" w:line="240" w:lineRule="auto"/>
        <w:rPr>
          <w:rFonts w:ascii="Calibri" w:eastAsia="Times New Roman" w:hAnsi="Calibri" w:cs="Times New Roman"/>
        </w:rPr>
      </w:pPr>
      <w:r w:rsidRPr="00E36EDA">
        <w:rPr>
          <w:rFonts w:ascii="Calibri" w:eastAsia="Times New Roman" w:hAnsi="Calibri" w:cs="Times New Roman"/>
        </w:rPr>
        <w:t>The Direct Method will be used, which applies the software’s default M-probability levels. The Link Plus-recommended cut-off value of 7.0 will be used to cut off non-matches.</w:t>
      </w:r>
    </w:p>
    <w:p w:rsidR="00E36EDA" w:rsidRDefault="00E36EDA" w:rsidP="00E36EDA">
      <w:pPr>
        <w:pStyle w:val="ListParagraph"/>
        <w:numPr>
          <w:ilvl w:val="0"/>
          <w:numId w:val="6"/>
        </w:numPr>
        <w:spacing w:after="0" w:line="240" w:lineRule="auto"/>
        <w:rPr>
          <w:rFonts w:ascii="Calibri" w:eastAsia="Times New Roman" w:hAnsi="Calibri" w:cs="Times New Roman"/>
        </w:rPr>
      </w:pPr>
      <w:r w:rsidRPr="00E36EDA">
        <w:rPr>
          <w:rFonts w:ascii="Calibri" w:eastAsia="Times New Roman" w:hAnsi="Calibri" w:cs="Times New Roman"/>
        </w:rPr>
        <w:t xml:space="preserve">The location of output files will be specified to a folder on the </w:t>
      </w:r>
      <w:r>
        <w:rPr>
          <w:rFonts w:ascii="Calibri" w:eastAsia="Times New Roman" w:hAnsi="Calibri" w:cs="Times New Roman"/>
        </w:rPr>
        <w:t>computer, and the linkage configuration saved to this same location prior to running the linkage.</w:t>
      </w:r>
    </w:p>
    <w:p w:rsidR="00EA15A0" w:rsidRDefault="00EA15A0" w:rsidP="00EA15A0">
      <w:pPr>
        <w:pStyle w:val="ListParagraph"/>
        <w:spacing w:after="0" w:line="240" w:lineRule="auto"/>
        <w:ind w:left="1800"/>
        <w:rPr>
          <w:rFonts w:ascii="Calibri" w:eastAsia="Times New Roman" w:hAnsi="Calibri" w:cs="Times New Roman"/>
        </w:rPr>
      </w:pPr>
    </w:p>
    <w:p w:rsidR="00E36EDA" w:rsidRDefault="00EA15A0" w:rsidP="00EA15A0">
      <w:pPr>
        <w:spacing w:after="0" w:line="240" w:lineRule="auto"/>
        <w:ind w:left="720"/>
        <w:rPr>
          <w:rFonts w:ascii="Calibri" w:eastAsia="Times New Roman" w:hAnsi="Calibri" w:cs="Times New Roman"/>
        </w:rPr>
      </w:pPr>
      <w:r>
        <w:rPr>
          <w:rFonts w:ascii="Calibri" w:eastAsia="Times New Roman" w:hAnsi="Calibri" w:cs="Times New Roman"/>
        </w:rPr>
        <w:t>After the linkage has run, we will assign</w:t>
      </w:r>
      <w:r w:rsidR="00E36EDA" w:rsidRPr="00EA15A0">
        <w:rPr>
          <w:rFonts w:ascii="Calibri" w:eastAsia="Times New Roman" w:hAnsi="Calibri" w:cs="Times New Roman"/>
        </w:rPr>
        <w:t xml:space="preserve"> match status</w:t>
      </w:r>
      <w:r>
        <w:rPr>
          <w:rFonts w:ascii="Calibri" w:eastAsia="Times New Roman" w:hAnsi="Calibri" w:cs="Times New Roman"/>
        </w:rPr>
        <w:t xml:space="preserve"> to all matched record pairs </w:t>
      </w:r>
      <w:r w:rsidR="00E36EDA" w:rsidRPr="00EA15A0">
        <w:rPr>
          <w:rFonts w:ascii="Calibri" w:eastAsia="Times New Roman" w:hAnsi="Calibri" w:cs="Times New Roman"/>
        </w:rPr>
        <w:t xml:space="preserve">using the Link </w:t>
      </w:r>
      <w:proofErr w:type="gramStart"/>
      <w:r w:rsidR="00E36EDA" w:rsidRPr="00EA15A0">
        <w:rPr>
          <w:rFonts w:ascii="Calibri" w:eastAsia="Times New Roman" w:hAnsi="Calibri" w:cs="Times New Roman"/>
        </w:rPr>
        <w:t>Plus</w:t>
      </w:r>
      <w:proofErr w:type="gramEnd"/>
      <w:r w:rsidR="00E36EDA" w:rsidRPr="00EA15A0">
        <w:rPr>
          <w:rFonts w:ascii="Calibri" w:eastAsia="Times New Roman" w:hAnsi="Calibri" w:cs="Times New Roman"/>
        </w:rPr>
        <w:t xml:space="preserve"> Manual Review screen and user-preferred options.</w:t>
      </w:r>
      <w:r w:rsidRPr="00EA15A0">
        <w:rPr>
          <w:rFonts w:ascii="Calibri" w:eastAsia="Times New Roman" w:hAnsi="Calibri" w:cs="Times New Roman"/>
        </w:rPr>
        <w:t xml:space="preserve"> Additional ID variables </w:t>
      </w:r>
      <w:r>
        <w:rPr>
          <w:rFonts w:ascii="Calibri" w:eastAsia="Times New Roman" w:hAnsi="Calibri" w:cs="Times New Roman"/>
        </w:rPr>
        <w:t xml:space="preserve">(such as suffix, street address) </w:t>
      </w:r>
      <w:r w:rsidRPr="00EA15A0">
        <w:rPr>
          <w:rFonts w:ascii="Calibri" w:eastAsia="Times New Roman" w:hAnsi="Calibri" w:cs="Times New Roman"/>
        </w:rPr>
        <w:t xml:space="preserve">may be selected at this time to assist in the clerical review process. </w:t>
      </w:r>
      <w:r w:rsidR="00E36EDA" w:rsidRPr="00EA15A0">
        <w:rPr>
          <w:rFonts w:ascii="Calibri" w:eastAsia="Times New Roman" w:hAnsi="Calibri" w:cs="Times New Roman"/>
        </w:rPr>
        <w:t xml:space="preserve">The reviewer will review the results and assign upper and lower cut-off scores. Clerical review of all </w:t>
      </w:r>
      <w:r w:rsidR="00151C38">
        <w:rPr>
          <w:rFonts w:ascii="Calibri" w:eastAsia="Times New Roman" w:hAnsi="Calibri" w:cs="Times New Roman"/>
        </w:rPr>
        <w:t>matched pairs</w:t>
      </w:r>
      <w:r w:rsidR="00E36EDA" w:rsidRPr="00EA15A0">
        <w:rPr>
          <w:rFonts w:ascii="Calibri" w:eastAsia="Times New Roman" w:hAnsi="Calibri" w:cs="Times New Roman"/>
        </w:rPr>
        <w:t xml:space="preserve"> between these values will be conducted independently b</w:t>
      </w:r>
      <w:r w:rsidR="00F94C93" w:rsidRPr="00EA15A0">
        <w:rPr>
          <w:rFonts w:ascii="Calibri" w:eastAsia="Times New Roman" w:hAnsi="Calibri" w:cs="Times New Roman"/>
        </w:rPr>
        <w:t>y two reviewers. A</w:t>
      </w:r>
      <w:r w:rsidR="00E36EDA" w:rsidRPr="00EA15A0">
        <w:rPr>
          <w:rFonts w:ascii="Calibri" w:eastAsia="Times New Roman" w:hAnsi="Calibri" w:cs="Times New Roman"/>
        </w:rPr>
        <w:t xml:space="preserve">ny discrepant results </w:t>
      </w:r>
      <w:r w:rsidR="00F94C93" w:rsidRPr="00EA15A0">
        <w:rPr>
          <w:rFonts w:ascii="Calibri" w:eastAsia="Times New Roman" w:hAnsi="Calibri" w:cs="Times New Roman"/>
        </w:rPr>
        <w:t>will be discussed and decided upon by consensus.</w:t>
      </w:r>
    </w:p>
    <w:p w:rsidR="00EA15A0" w:rsidRPr="00EA15A0" w:rsidRDefault="00EA15A0" w:rsidP="00EA15A0">
      <w:pPr>
        <w:spacing w:after="0" w:line="240" w:lineRule="auto"/>
        <w:ind w:left="720"/>
        <w:rPr>
          <w:rFonts w:ascii="Calibri" w:eastAsia="Times New Roman" w:hAnsi="Calibri" w:cs="Times New Roman"/>
        </w:rPr>
      </w:pPr>
    </w:p>
    <w:p w:rsidR="00C24C1E" w:rsidRPr="00EA15A0" w:rsidRDefault="00F94C93" w:rsidP="00EA15A0">
      <w:pPr>
        <w:spacing w:after="0" w:line="240" w:lineRule="auto"/>
        <w:ind w:left="720"/>
        <w:rPr>
          <w:rFonts w:ascii="Calibri" w:eastAsia="Times New Roman" w:hAnsi="Calibri" w:cs="Times New Roman"/>
        </w:rPr>
      </w:pPr>
      <w:r w:rsidRPr="00EA15A0">
        <w:rPr>
          <w:rFonts w:ascii="Calibri" w:eastAsia="Times New Roman" w:hAnsi="Calibri" w:cs="Times New Roman"/>
        </w:rPr>
        <w:t>After all record pairs have been assigned a match status (match or non-match)</w:t>
      </w:r>
      <w:r w:rsidR="00151C38">
        <w:rPr>
          <w:rFonts w:ascii="Calibri" w:eastAsia="Times New Roman" w:hAnsi="Calibri" w:cs="Times New Roman"/>
        </w:rPr>
        <w:t xml:space="preserve"> </w:t>
      </w:r>
      <w:r w:rsidRPr="00EA15A0">
        <w:rPr>
          <w:rFonts w:ascii="Calibri" w:eastAsia="Times New Roman" w:hAnsi="Calibri" w:cs="Times New Roman"/>
        </w:rPr>
        <w:t>we will export a text file containing the unique record ID of all matches. This ID number can then be used to merge the match results back into the original/analytic data set(s).</w:t>
      </w:r>
    </w:p>
    <w:p w:rsidR="00EA15A0" w:rsidRDefault="00EA15A0" w:rsidP="00EA15A0">
      <w:pPr>
        <w:spacing w:after="0" w:line="240" w:lineRule="auto"/>
        <w:rPr>
          <w:rFonts w:ascii="Calibri" w:eastAsia="Times New Roman" w:hAnsi="Calibri" w:cs="Times New Roman"/>
        </w:rPr>
      </w:pPr>
    </w:p>
    <w:p w:rsidR="00F94C93" w:rsidRPr="00EA15A0" w:rsidRDefault="00EA15A0" w:rsidP="00EA15A0">
      <w:pPr>
        <w:spacing w:after="0" w:line="240" w:lineRule="auto"/>
        <w:ind w:left="720"/>
        <w:rPr>
          <w:rFonts w:ascii="Calibri" w:eastAsia="Times New Roman" w:hAnsi="Calibri" w:cs="Times New Roman"/>
        </w:rPr>
      </w:pPr>
      <w:r>
        <w:rPr>
          <w:rFonts w:ascii="Calibri" w:eastAsia="Times New Roman" w:hAnsi="Calibri" w:cs="Times New Roman"/>
        </w:rPr>
        <w:t>Staff will keep notes of the process t</w:t>
      </w:r>
      <w:r w:rsidR="00F94C93" w:rsidRPr="00EA15A0">
        <w:rPr>
          <w:rFonts w:ascii="Calibri" w:eastAsia="Times New Roman" w:hAnsi="Calibri" w:cs="Times New Roman"/>
        </w:rPr>
        <w:t xml:space="preserve">hroughout </w:t>
      </w:r>
      <w:r>
        <w:rPr>
          <w:rFonts w:ascii="Calibri" w:eastAsia="Times New Roman" w:hAnsi="Calibri" w:cs="Times New Roman"/>
        </w:rPr>
        <w:t xml:space="preserve">linkage set-up and clerical review. These are likely to include: </w:t>
      </w:r>
      <w:r w:rsidR="00F94C93" w:rsidRPr="00EA15A0">
        <w:rPr>
          <w:rFonts w:ascii="Calibri" w:eastAsia="Times New Roman" w:hAnsi="Calibri" w:cs="Times New Roman"/>
        </w:rPr>
        <w:t>the length of time the linkage took to run, total number of matched pairs above cut-off value, user-defined upper and lower cut-off values, and number of true matches.</w:t>
      </w:r>
    </w:p>
    <w:p w:rsidR="00F94C93" w:rsidRPr="00F94C93" w:rsidRDefault="00F94C93" w:rsidP="00F94C93">
      <w:pPr>
        <w:pStyle w:val="ListParagraph"/>
        <w:spacing w:after="0" w:line="240" w:lineRule="auto"/>
        <w:ind w:left="1800"/>
        <w:rPr>
          <w:rFonts w:ascii="Calibri" w:eastAsia="Times New Roman" w:hAnsi="Calibri" w:cs="Times New Roman"/>
        </w:rPr>
      </w:pPr>
    </w:p>
    <w:p w:rsidR="00E4791B" w:rsidRPr="00E4791B" w:rsidRDefault="00E4791B" w:rsidP="00F94C93">
      <w:pPr>
        <w:spacing w:after="0" w:line="240" w:lineRule="auto"/>
        <w:ind w:left="720"/>
        <w:rPr>
          <w:rFonts w:ascii="Calibri" w:eastAsia="Times New Roman" w:hAnsi="Calibri" w:cs="Times New Roman"/>
        </w:rPr>
      </w:pPr>
      <w:r w:rsidRPr="00E4791B">
        <w:rPr>
          <w:rFonts w:ascii="Calibri" w:eastAsia="Times New Roman" w:hAnsi="Calibri" w:cs="Times New Roman"/>
        </w:rPr>
        <w:t>Prior t</w:t>
      </w:r>
      <w:r w:rsidR="00F94C93">
        <w:rPr>
          <w:rFonts w:ascii="Calibri" w:eastAsia="Times New Roman" w:hAnsi="Calibri" w:cs="Times New Roman"/>
        </w:rPr>
        <w:t xml:space="preserve">o leaving the linkage site, all data </w:t>
      </w:r>
      <w:r w:rsidRPr="00E4791B">
        <w:rPr>
          <w:rFonts w:ascii="Calibri" w:eastAsia="Times New Roman" w:hAnsi="Calibri" w:cs="Times New Roman"/>
        </w:rPr>
        <w:t>file</w:t>
      </w:r>
      <w:r w:rsidR="00F94C93">
        <w:rPr>
          <w:rFonts w:ascii="Calibri" w:eastAsia="Times New Roman" w:hAnsi="Calibri" w:cs="Times New Roman"/>
        </w:rPr>
        <w:t xml:space="preserve">s with </w:t>
      </w:r>
      <w:r w:rsidR="00151C38">
        <w:rPr>
          <w:rFonts w:ascii="Calibri" w:eastAsia="Times New Roman" w:hAnsi="Calibri" w:cs="Times New Roman"/>
        </w:rPr>
        <w:t>Protected Health Information (PHI)</w:t>
      </w:r>
      <w:r w:rsidRPr="00E4791B">
        <w:rPr>
          <w:rFonts w:ascii="Calibri" w:eastAsia="Times New Roman" w:hAnsi="Calibri" w:cs="Times New Roman"/>
        </w:rPr>
        <w:t xml:space="preserve"> will be encrypted, and all linkage-associa</w:t>
      </w:r>
      <w:r w:rsidR="00F94C93">
        <w:rPr>
          <w:rFonts w:ascii="Calibri" w:eastAsia="Times New Roman" w:hAnsi="Calibri" w:cs="Times New Roman"/>
        </w:rPr>
        <w:t xml:space="preserve">ted files provided by Party2 </w:t>
      </w:r>
      <w:r w:rsidRPr="00E4791B">
        <w:rPr>
          <w:rFonts w:ascii="Calibri" w:eastAsia="Times New Roman" w:hAnsi="Calibri" w:cs="Times New Roman"/>
        </w:rPr>
        <w:t xml:space="preserve">will be deleted </w:t>
      </w:r>
      <w:r w:rsidR="00F94C93">
        <w:rPr>
          <w:rFonts w:ascii="Calibri" w:eastAsia="Times New Roman" w:hAnsi="Calibri" w:cs="Times New Roman"/>
        </w:rPr>
        <w:t>by securely wiping the files</w:t>
      </w:r>
      <w:r w:rsidR="00151C38">
        <w:rPr>
          <w:rFonts w:ascii="Calibri" w:eastAsia="Times New Roman" w:hAnsi="Calibri" w:cs="Times New Roman"/>
        </w:rPr>
        <w:t xml:space="preserve"> from the computer</w:t>
      </w:r>
      <w:r w:rsidR="00F94C93">
        <w:rPr>
          <w:rFonts w:ascii="Calibri" w:eastAsia="Times New Roman" w:hAnsi="Calibri" w:cs="Times New Roman"/>
        </w:rPr>
        <w:t xml:space="preserve">. </w:t>
      </w:r>
      <w:r w:rsidRPr="00E4791B">
        <w:rPr>
          <w:rFonts w:ascii="Calibri" w:eastAsia="Times New Roman" w:hAnsi="Calibri" w:cs="Times New Roman"/>
        </w:rPr>
        <w:t xml:space="preserve">A file containing previously agreed-upon health data, but no confidential demographic variables, may be provided to </w:t>
      </w:r>
      <w:r w:rsidR="00F94C93">
        <w:rPr>
          <w:rFonts w:ascii="Calibri" w:eastAsia="Times New Roman" w:hAnsi="Calibri" w:cs="Times New Roman"/>
        </w:rPr>
        <w:t>Party1 at this time.</w:t>
      </w:r>
      <w:r w:rsidRPr="00E4791B">
        <w:rPr>
          <w:rFonts w:ascii="Calibri" w:eastAsia="Times New Roman" w:hAnsi="Calibri" w:cs="Times New Roman"/>
        </w:rPr>
        <w:t xml:space="preserve"> Any such files will also be encrypted and saved on the Project laptop. </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081"/>
        <w:gridCol w:w="4114"/>
      </w:tblGrid>
      <w:tr w:rsidR="00E4791B" w:rsidRPr="00E4791B" w:rsidTr="00E46427">
        <w:tc>
          <w:tcPr>
            <w:tcW w:w="11016" w:type="dxa"/>
            <w:gridSpan w:val="3"/>
            <w:tcBorders>
              <w:top w:val="nil"/>
              <w:left w:val="nil"/>
              <w:bottom w:val="single" w:sz="4" w:space="0" w:color="000000"/>
              <w:right w:val="nil"/>
            </w:tcBorders>
            <w:shd w:val="clear" w:color="auto" w:fill="FFFFFF"/>
            <w:vAlign w:val="bottom"/>
          </w:tcPr>
          <w:p w:rsidR="00E4791B" w:rsidRPr="00E4791B" w:rsidRDefault="00C52CA2"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color w:val="000000"/>
              </w:rPr>
            </w:pPr>
            <w:r>
              <w:rPr>
                <w:rFonts w:ascii="Calibri" w:eastAsia="Times New Roman" w:hAnsi="Calibri" w:cs="Arial"/>
                <w:b/>
                <w:color w:val="000000"/>
              </w:rPr>
              <w:t>Table 1</w:t>
            </w:r>
            <w:r w:rsidR="00E4791B" w:rsidRPr="00E4791B">
              <w:rPr>
                <w:rFonts w:ascii="Calibri" w:eastAsia="Times New Roman" w:hAnsi="Calibri" w:cs="Arial"/>
                <w:b/>
                <w:i/>
                <w:color w:val="000000"/>
              </w:rPr>
              <w:t xml:space="preserve">.  </w:t>
            </w:r>
            <w:r w:rsidR="00E4791B" w:rsidRPr="00E4791B">
              <w:rPr>
                <w:rFonts w:ascii="Calibri" w:eastAsia="Times New Roman" w:hAnsi="Calibri" w:cs="Arial"/>
                <w:b/>
                <w:color w:val="000000"/>
              </w:rPr>
              <w:t>Probabilistic linkage concepts</w:t>
            </w:r>
          </w:p>
        </w:tc>
      </w:tr>
      <w:tr w:rsidR="00E4791B" w:rsidRPr="00E4791B" w:rsidTr="00E46427">
        <w:tc>
          <w:tcPr>
            <w:tcW w:w="1458" w:type="dxa"/>
            <w:tcBorders>
              <w:bottom w:val="single" w:sz="4" w:space="0" w:color="000000"/>
            </w:tcBorders>
            <w:shd w:val="pct15" w:color="auto" w:fill="auto"/>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p>
        </w:tc>
        <w:tc>
          <w:tcPr>
            <w:tcW w:w="4770" w:type="dxa"/>
            <w:shd w:val="pct15" w:color="auto" w:fill="auto"/>
            <w:vAlign w:val="center"/>
          </w:tcPr>
          <w:p w:rsidR="00E4791B" w:rsidRPr="00E4791B" w:rsidRDefault="00C24C1E"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Pr>
                <w:rFonts w:ascii="Calibri" w:eastAsia="Times New Roman" w:hAnsi="Calibri" w:cs="Arial"/>
                <w:b/>
                <w:szCs w:val="20"/>
              </w:rPr>
              <w:t>Description</w:t>
            </w:r>
          </w:p>
        </w:tc>
        <w:tc>
          <w:tcPr>
            <w:tcW w:w="4788" w:type="dxa"/>
            <w:shd w:val="pct15" w:color="auto" w:fill="auto"/>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sidRPr="00E4791B">
              <w:rPr>
                <w:rFonts w:ascii="Calibri" w:eastAsia="Times New Roman" w:hAnsi="Calibri" w:cs="Arial"/>
                <w:b/>
                <w:szCs w:val="20"/>
              </w:rPr>
              <w:t>Use for proposed project*</w:t>
            </w:r>
          </w:p>
        </w:tc>
      </w:tr>
      <w:tr w:rsidR="00E4791B" w:rsidRPr="00E4791B" w:rsidTr="00E46427">
        <w:tc>
          <w:tcPr>
            <w:tcW w:w="1458" w:type="dxa"/>
            <w:shd w:val="pct15" w:color="auto" w:fill="auto"/>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sidRPr="00E4791B">
              <w:rPr>
                <w:rFonts w:ascii="Calibri" w:eastAsia="Times New Roman" w:hAnsi="Calibri" w:cs="Arial"/>
                <w:b/>
                <w:szCs w:val="20"/>
              </w:rPr>
              <w:t>Blocking</w:t>
            </w:r>
          </w:p>
        </w:tc>
        <w:tc>
          <w:tcPr>
            <w:tcW w:w="4770" w:type="dxa"/>
            <w:vAlign w:val="center"/>
          </w:tcPr>
          <w:p w:rsidR="00E4791B" w:rsidRPr="00E4791B" w:rsidRDefault="00E4791B" w:rsidP="00EA15A0">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 xml:space="preserve">An initial step to reduce the number of record comparisons and increase efficiency of linkage. At least one blocking variable must match </w:t>
            </w:r>
            <w:r w:rsidRPr="00E4791B">
              <w:rPr>
                <w:rFonts w:ascii="Calibri" w:eastAsia="Times New Roman" w:hAnsi="Calibri" w:cs="Arial"/>
                <w:i/>
                <w:sz w:val="20"/>
                <w:szCs w:val="20"/>
              </w:rPr>
              <w:t>exactly</w:t>
            </w:r>
            <w:r w:rsidRPr="00E4791B">
              <w:rPr>
                <w:rFonts w:ascii="Calibri" w:eastAsia="Times New Roman" w:hAnsi="Calibri" w:cs="Arial"/>
                <w:sz w:val="20"/>
                <w:szCs w:val="20"/>
              </w:rPr>
              <w:t xml:space="preserve"> between the two </w:t>
            </w:r>
            <w:r w:rsidR="00EA15A0">
              <w:rPr>
                <w:rFonts w:ascii="Calibri" w:eastAsia="Times New Roman" w:hAnsi="Calibri" w:cs="Arial"/>
                <w:sz w:val="20"/>
                <w:szCs w:val="20"/>
              </w:rPr>
              <w:t>records being compared</w:t>
            </w:r>
            <w:r w:rsidRPr="00E4791B">
              <w:rPr>
                <w:rFonts w:ascii="Calibri" w:eastAsia="Times New Roman" w:hAnsi="Calibri" w:cs="Arial"/>
                <w:sz w:val="20"/>
                <w:szCs w:val="20"/>
              </w:rPr>
              <w:t>; subsequent comparisons are made only within blocks.</w:t>
            </w:r>
          </w:p>
        </w:tc>
        <w:tc>
          <w:tcPr>
            <w:tcW w:w="4788" w:type="dxa"/>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Blocking variables:</w:t>
            </w:r>
          </w:p>
          <w:p w:rsidR="00E4791B" w:rsidRPr="00E4791B" w:rsidRDefault="00E4791B" w:rsidP="00E4791B">
            <w:pPr>
              <w:numPr>
                <w:ilvl w:val="0"/>
                <w:numId w:val="1"/>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Last name</w:t>
            </w:r>
          </w:p>
          <w:p w:rsidR="00E4791B" w:rsidRPr="00E4791B" w:rsidRDefault="00E4791B" w:rsidP="00E4791B">
            <w:pPr>
              <w:numPr>
                <w:ilvl w:val="0"/>
                <w:numId w:val="1"/>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First name</w:t>
            </w:r>
          </w:p>
          <w:p w:rsidR="00E4791B" w:rsidRPr="00E4791B" w:rsidRDefault="00E4791B" w:rsidP="00E4791B">
            <w:pPr>
              <w:numPr>
                <w:ilvl w:val="0"/>
                <w:numId w:val="1"/>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Social security number</w:t>
            </w:r>
          </w:p>
          <w:p w:rsidR="00E4791B" w:rsidRPr="00E4791B" w:rsidRDefault="00E4791B" w:rsidP="00E4791B">
            <w:pPr>
              <w:numPr>
                <w:ilvl w:val="0"/>
                <w:numId w:val="1"/>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Date of birth</w:t>
            </w:r>
          </w:p>
        </w:tc>
      </w:tr>
      <w:tr w:rsidR="00E4791B" w:rsidRPr="00E4791B" w:rsidTr="00E46427">
        <w:tc>
          <w:tcPr>
            <w:tcW w:w="1458" w:type="dxa"/>
            <w:shd w:val="pct15" w:color="auto" w:fill="auto"/>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sidRPr="00E4791B">
              <w:rPr>
                <w:rFonts w:ascii="Calibri" w:eastAsia="Times New Roman" w:hAnsi="Calibri" w:cs="Arial"/>
                <w:b/>
                <w:szCs w:val="20"/>
              </w:rPr>
              <w:t>Matching</w:t>
            </w:r>
          </w:p>
        </w:tc>
        <w:tc>
          <w:tcPr>
            <w:tcW w:w="4770" w:type="dxa"/>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 xml:space="preserve">Within a block, matching variables are compared to generate a match score for each </w:t>
            </w:r>
            <w:r w:rsidRPr="00E4791B">
              <w:rPr>
                <w:rFonts w:ascii="Calibri" w:eastAsia="Times New Roman" w:hAnsi="Calibri" w:cs="Arial"/>
                <w:sz w:val="20"/>
                <w:szCs w:val="20"/>
              </w:rPr>
              <w:lastRenderedPageBreak/>
              <w:t xml:space="preserve">record pair. </w:t>
            </w:r>
          </w:p>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Match scores for each variable are:</w:t>
            </w:r>
          </w:p>
          <w:p w:rsidR="00E4791B" w:rsidRPr="00E4791B" w:rsidRDefault="00E4791B" w:rsidP="00E4791B">
            <w:pPr>
              <w:numPr>
                <w:ilvl w:val="0"/>
                <w:numId w:val="3"/>
              </w:numPr>
              <w:tabs>
                <w:tab w:val="left" w:pos="0"/>
                <w:tab w:val="left" w:pos="342"/>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line="240" w:lineRule="auto"/>
              <w:ind w:left="432" w:hanging="270"/>
              <w:contextualSpacing/>
              <w:rPr>
                <w:rFonts w:ascii="Calibri" w:eastAsia="Times New Roman" w:hAnsi="Calibri" w:cs="Arial"/>
                <w:sz w:val="20"/>
                <w:szCs w:val="20"/>
              </w:rPr>
            </w:pPr>
            <w:r w:rsidRPr="00E4791B">
              <w:rPr>
                <w:rFonts w:ascii="Calibri" w:eastAsia="Times New Roman" w:hAnsi="Calibri" w:cs="Arial"/>
                <w:sz w:val="20"/>
                <w:szCs w:val="20"/>
              </w:rPr>
              <w:t>Field-specific (matching DOB is scored higher than matching sex)</w:t>
            </w:r>
          </w:p>
          <w:p w:rsidR="00E4791B" w:rsidRPr="00E4791B" w:rsidRDefault="00E4791B" w:rsidP="00E4791B">
            <w:pPr>
              <w:numPr>
                <w:ilvl w:val="0"/>
                <w:numId w:val="3"/>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line="240" w:lineRule="auto"/>
              <w:ind w:left="342" w:hanging="180"/>
              <w:contextualSpacing/>
              <w:rPr>
                <w:rFonts w:ascii="Calibri" w:eastAsia="Times New Roman" w:hAnsi="Calibri" w:cs="Arial"/>
                <w:sz w:val="20"/>
                <w:szCs w:val="20"/>
              </w:rPr>
            </w:pPr>
            <w:r w:rsidRPr="00E4791B">
              <w:rPr>
                <w:rFonts w:ascii="Calibri" w:eastAsia="Times New Roman" w:hAnsi="Calibri" w:cs="Arial"/>
                <w:sz w:val="20"/>
                <w:szCs w:val="20"/>
              </w:rPr>
              <w:t>Value-specific (last name of ‘Hoopes’ is scored higher than ‘Smith’ due to frequency of occurrence)</w:t>
            </w:r>
          </w:p>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p>
        </w:tc>
        <w:tc>
          <w:tcPr>
            <w:tcW w:w="4788" w:type="dxa"/>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lastRenderedPageBreak/>
              <w:t>Matching variables:</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Last name</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lastRenderedPageBreak/>
              <w:t>First name</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Middle name</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Social security number</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Date of birth</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tLeast"/>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Sex</w:t>
            </w:r>
          </w:p>
          <w:p w:rsidR="00E4791B" w:rsidRPr="00E4791B" w:rsidRDefault="00E4791B" w:rsidP="00E4791B">
            <w:pPr>
              <w:numPr>
                <w:ilvl w:val="0"/>
                <w:numId w:val="2"/>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Address</w:t>
            </w:r>
          </w:p>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contextualSpacing/>
              <w:rPr>
                <w:rFonts w:ascii="Calibri" w:eastAsia="Times New Roman" w:hAnsi="Calibri" w:cs="Arial"/>
                <w:sz w:val="20"/>
                <w:szCs w:val="20"/>
              </w:rPr>
            </w:pPr>
            <w:r w:rsidRPr="00E4791B">
              <w:rPr>
                <w:rFonts w:ascii="Calibri" w:eastAsia="Times New Roman" w:hAnsi="Calibri" w:cs="Arial"/>
                <w:sz w:val="20"/>
                <w:szCs w:val="20"/>
              </w:rPr>
              <w:t>The user may designate a specific matching algorithm for each variable.</w:t>
            </w:r>
          </w:p>
        </w:tc>
      </w:tr>
      <w:tr w:rsidR="00E4791B" w:rsidRPr="00E4791B" w:rsidTr="00E46427">
        <w:tc>
          <w:tcPr>
            <w:tcW w:w="1458" w:type="dxa"/>
            <w:shd w:val="pct15" w:color="auto" w:fill="auto"/>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sidRPr="00E4791B">
              <w:rPr>
                <w:rFonts w:ascii="Calibri" w:eastAsia="Times New Roman" w:hAnsi="Calibri" w:cs="Arial"/>
                <w:b/>
                <w:szCs w:val="20"/>
              </w:rPr>
              <w:lastRenderedPageBreak/>
              <w:t>Match score</w:t>
            </w:r>
          </w:p>
        </w:tc>
        <w:tc>
          <w:tcPr>
            <w:tcW w:w="4770" w:type="dxa"/>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 xml:space="preserve">The total probability weight assigned to each record pair; equal to the sum of scores generated by comparing each match field.  Based on software-calculated M probability (sensitivity) and U probability (specificity). </w:t>
            </w:r>
          </w:p>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p>
        </w:tc>
        <w:tc>
          <w:tcPr>
            <w:tcW w:w="4788" w:type="dxa"/>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The range of match scores is examined to determine upper and lower cut-off values. High match scores are designated true matches</w:t>
            </w:r>
            <w:r w:rsidRPr="00E4791B">
              <w:rPr>
                <w:rFonts w:ascii="Calibri" w:eastAsia="Times New Roman" w:hAnsi="Calibri" w:cs="Arial"/>
                <w:i/>
                <w:sz w:val="20"/>
                <w:szCs w:val="20"/>
              </w:rPr>
              <w:t xml:space="preserve"> </w:t>
            </w:r>
            <w:r w:rsidRPr="00E4791B">
              <w:rPr>
                <w:rFonts w:ascii="Calibri" w:eastAsia="Times New Roman" w:hAnsi="Calibri" w:cs="Arial"/>
                <w:sz w:val="20"/>
                <w:szCs w:val="20"/>
              </w:rPr>
              <w:t>and scores below 7.0 are automatically designated false matches. Record pairs between cut-off values are clerically reviewed.</w:t>
            </w:r>
          </w:p>
        </w:tc>
      </w:tr>
      <w:tr w:rsidR="00E4791B" w:rsidRPr="00E4791B" w:rsidTr="00E46427">
        <w:tc>
          <w:tcPr>
            <w:tcW w:w="1458" w:type="dxa"/>
            <w:tcBorders>
              <w:bottom w:val="single" w:sz="4" w:space="0" w:color="000000"/>
            </w:tcBorders>
            <w:shd w:val="pct15" w:color="auto" w:fill="auto"/>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b/>
                <w:szCs w:val="20"/>
              </w:rPr>
            </w:pPr>
            <w:r w:rsidRPr="00E4791B">
              <w:rPr>
                <w:rFonts w:ascii="Calibri" w:eastAsia="Times New Roman" w:hAnsi="Calibri" w:cs="Arial"/>
                <w:b/>
                <w:szCs w:val="20"/>
              </w:rPr>
              <w:t>Clerical review</w:t>
            </w:r>
          </w:p>
        </w:tc>
        <w:tc>
          <w:tcPr>
            <w:tcW w:w="4770" w:type="dxa"/>
            <w:tcBorders>
              <w:bottom w:val="single" w:sz="4" w:space="0" w:color="000000"/>
            </w:tcBorders>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Case-by-case review of uncertain matches that fall between the upper and lower cut-off values.  Additional fields (“ID variables”) may be considered to assist in the designation of match status. This process can be completed independently by two or more reviewers to increase reliability.</w:t>
            </w:r>
          </w:p>
        </w:tc>
        <w:tc>
          <w:tcPr>
            <w:tcW w:w="4788" w:type="dxa"/>
            <w:tcBorders>
              <w:bottom w:val="single" w:sz="4" w:space="0" w:color="000000"/>
            </w:tcBorders>
            <w:vAlign w:val="center"/>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ID variables:</w:t>
            </w:r>
          </w:p>
          <w:p w:rsidR="00E4791B" w:rsidRPr="00E4791B" w:rsidRDefault="00E4791B" w:rsidP="00E4791B">
            <w:pPr>
              <w:numPr>
                <w:ilvl w:val="0"/>
                <w:numId w:val="4"/>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Street address</w:t>
            </w:r>
          </w:p>
          <w:p w:rsidR="00E4791B" w:rsidRPr="00E4791B" w:rsidRDefault="00E4791B" w:rsidP="00E4791B">
            <w:pPr>
              <w:numPr>
                <w:ilvl w:val="0"/>
                <w:numId w:val="4"/>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City, state, zip code</w:t>
            </w:r>
          </w:p>
          <w:p w:rsidR="00E4791B" w:rsidRPr="00E4791B" w:rsidRDefault="00E4791B" w:rsidP="00E4791B">
            <w:pPr>
              <w:numPr>
                <w:ilvl w:val="0"/>
                <w:numId w:val="4"/>
              </w:num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00" w:afterAutospacing="1" w:line="240" w:lineRule="auto"/>
              <w:ind w:left="403" w:hanging="187"/>
              <w:contextualSpacing/>
              <w:rPr>
                <w:rFonts w:ascii="Calibri" w:eastAsia="Times New Roman" w:hAnsi="Calibri" w:cs="Arial"/>
                <w:sz w:val="20"/>
                <w:szCs w:val="20"/>
              </w:rPr>
            </w:pPr>
            <w:r w:rsidRPr="00E4791B">
              <w:rPr>
                <w:rFonts w:ascii="Calibri" w:eastAsia="Times New Roman" w:hAnsi="Calibri" w:cs="Arial"/>
                <w:sz w:val="20"/>
                <w:szCs w:val="20"/>
              </w:rPr>
              <w:t>Suffix</w:t>
            </w:r>
          </w:p>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Double clerical review will be conducted whenever possible</w:t>
            </w:r>
          </w:p>
        </w:tc>
      </w:tr>
      <w:tr w:rsidR="00E4791B" w:rsidRPr="00E4791B" w:rsidTr="00E46427">
        <w:tc>
          <w:tcPr>
            <w:tcW w:w="11016" w:type="dxa"/>
            <w:gridSpan w:val="3"/>
            <w:tcBorders>
              <w:left w:val="nil"/>
              <w:bottom w:val="nil"/>
              <w:right w:val="nil"/>
            </w:tcBorders>
          </w:tcPr>
          <w:p w:rsidR="00E4791B" w:rsidRPr="00E4791B" w:rsidRDefault="00E4791B" w:rsidP="00E4791B">
            <w:pPr>
              <w:tabs>
                <w:tab w:val="left" w:pos="0"/>
                <w:tab w:val="left" w:pos="450"/>
                <w:tab w:val="left"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eastAsia="Times New Roman" w:hAnsi="Calibri" w:cs="Arial"/>
                <w:sz w:val="20"/>
                <w:szCs w:val="20"/>
              </w:rPr>
            </w:pPr>
            <w:r w:rsidRPr="00E4791B">
              <w:rPr>
                <w:rFonts w:ascii="Calibri" w:eastAsia="Times New Roman" w:hAnsi="Calibri" w:cs="Arial"/>
                <w:sz w:val="20"/>
                <w:szCs w:val="20"/>
              </w:rPr>
              <w:t>* specifics may vary based on characteristics of matching data sets</w:t>
            </w:r>
          </w:p>
        </w:tc>
      </w:tr>
    </w:tbl>
    <w:p w:rsidR="00E4791B" w:rsidRPr="00E4791B" w:rsidRDefault="00E4791B" w:rsidP="00E4791B">
      <w:pPr>
        <w:spacing w:after="0" w:line="240" w:lineRule="auto"/>
        <w:rPr>
          <w:rFonts w:ascii="Calibri" w:eastAsia="Times New Roman" w:hAnsi="Calibri" w:cs="Times New Roman"/>
          <w:i/>
        </w:rPr>
      </w:pPr>
    </w:p>
    <w:p w:rsidR="00151C38" w:rsidRPr="00151C38" w:rsidRDefault="00151C38" w:rsidP="00151C38">
      <w:pPr>
        <w:spacing w:after="0" w:line="240" w:lineRule="auto"/>
        <w:rPr>
          <w:rFonts w:ascii="Calibri" w:eastAsia="Times New Roman" w:hAnsi="Calibri" w:cs="Times New Roman"/>
          <w:smallCaps/>
          <w:sz w:val="24"/>
          <w:u w:val="single"/>
        </w:rPr>
      </w:pPr>
      <w:r>
        <w:rPr>
          <w:rFonts w:ascii="Calibri" w:eastAsia="Times New Roman" w:hAnsi="Calibri" w:cs="Times New Roman"/>
          <w:smallCaps/>
          <w:sz w:val="24"/>
          <w:u w:val="single"/>
        </w:rPr>
        <w:t>Data Security</w:t>
      </w:r>
    </w:p>
    <w:p w:rsidR="00DD14CD" w:rsidRPr="00151C38" w:rsidRDefault="00151C38" w:rsidP="00151C38">
      <w:pPr>
        <w:spacing w:after="0" w:line="240" w:lineRule="auto"/>
        <w:rPr>
          <w:rFonts w:cstheme="minorHAnsi"/>
          <w:sz w:val="24"/>
        </w:rPr>
      </w:pPr>
      <w:r>
        <w:rPr>
          <w:rFonts w:cstheme="minorHAnsi"/>
          <w:sz w:val="24"/>
        </w:rPr>
        <w:t xml:space="preserve">Describe the protocol for handling PHI throughout the process, including who will have access to data sets, how access will be restricted, how they will be transferred between computers, and how resulting files will be stored. </w:t>
      </w:r>
      <w:proofErr w:type="gramStart"/>
      <w:r>
        <w:rPr>
          <w:rFonts w:cstheme="minorHAnsi"/>
          <w:sz w:val="24"/>
        </w:rPr>
        <w:t>Reference confidentiality statements and data sharing agreements if relevant.</w:t>
      </w:r>
      <w:proofErr w:type="gramEnd"/>
      <w:r>
        <w:rPr>
          <w:rFonts w:cstheme="minorHAnsi"/>
          <w:sz w:val="24"/>
        </w:rPr>
        <w:t xml:space="preserve"> </w:t>
      </w:r>
    </w:p>
    <w:sectPr w:rsidR="00DD14CD" w:rsidRPr="0015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72F"/>
    <w:multiLevelType w:val="hybridMultilevel"/>
    <w:tmpl w:val="DEF033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3AF1E45"/>
    <w:multiLevelType w:val="hybridMultilevel"/>
    <w:tmpl w:val="D25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17453"/>
    <w:multiLevelType w:val="hybridMultilevel"/>
    <w:tmpl w:val="E32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F4AB3"/>
    <w:multiLevelType w:val="hybridMultilevel"/>
    <w:tmpl w:val="85CA278A"/>
    <w:lvl w:ilvl="0" w:tplc="C736D9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A109FE"/>
    <w:multiLevelType w:val="hybridMultilevel"/>
    <w:tmpl w:val="08F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26583"/>
    <w:multiLevelType w:val="hybridMultilevel"/>
    <w:tmpl w:val="C37E6C2A"/>
    <w:lvl w:ilvl="0" w:tplc="885821DE">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ED55292"/>
    <w:multiLevelType w:val="hybridMultilevel"/>
    <w:tmpl w:val="EC54D672"/>
    <w:lvl w:ilvl="0" w:tplc="CA84CEBE">
      <w:start w:val="4"/>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2EF4375"/>
    <w:multiLevelType w:val="hybridMultilevel"/>
    <w:tmpl w:val="14A0A072"/>
    <w:lvl w:ilvl="0" w:tplc="0409001B">
      <w:start w:val="1"/>
      <w:numFmt w:val="lowerRoman"/>
      <w:lvlText w:val="%1."/>
      <w:lvlJc w:val="righ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62F7984"/>
    <w:multiLevelType w:val="hybridMultilevel"/>
    <w:tmpl w:val="1CD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52834"/>
    <w:multiLevelType w:val="hybridMultilevel"/>
    <w:tmpl w:val="ABA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D1B0A"/>
    <w:multiLevelType w:val="hybridMultilevel"/>
    <w:tmpl w:val="519AF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93B65"/>
    <w:multiLevelType w:val="hybridMultilevel"/>
    <w:tmpl w:val="A35A330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6DBF1916"/>
    <w:multiLevelType w:val="hybridMultilevel"/>
    <w:tmpl w:val="3DFA12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B117BB4"/>
    <w:multiLevelType w:val="hybridMultilevel"/>
    <w:tmpl w:val="F738E6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0"/>
  </w:num>
  <w:num w:numId="6">
    <w:abstractNumId w:val="3"/>
  </w:num>
  <w:num w:numId="7">
    <w:abstractNumId w:val="5"/>
  </w:num>
  <w:num w:numId="8">
    <w:abstractNumId w:val="7"/>
  </w:num>
  <w:num w:numId="9">
    <w:abstractNumId w:val="8"/>
  </w:num>
  <w:num w:numId="10">
    <w:abstractNumId w:val="12"/>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CD"/>
    <w:rsid w:val="00151C38"/>
    <w:rsid w:val="00425361"/>
    <w:rsid w:val="0049098E"/>
    <w:rsid w:val="006F71A0"/>
    <w:rsid w:val="00A96CA2"/>
    <w:rsid w:val="00BD438B"/>
    <w:rsid w:val="00C24C1E"/>
    <w:rsid w:val="00C52CA2"/>
    <w:rsid w:val="00D672EA"/>
    <w:rsid w:val="00DD14CD"/>
    <w:rsid w:val="00E36EDA"/>
    <w:rsid w:val="00E4791B"/>
    <w:rsid w:val="00E731E9"/>
    <w:rsid w:val="00EA15A0"/>
    <w:rsid w:val="00F9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4CD"/>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DD14CD"/>
    <w:rPr>
      <w:rFonts w:ascii="Times" w:eastAsia="Times New Roman" w:hAnsi="Times" w:cs="Times"/>
      <w:sz w:val="24"/>
      <w:szCs w:val="24"/>
    </w:rPr>
  </w:style>
  <w:style w:type="table" w:styleId="TableGrid">
    <w:name w:val="Table Grid"/>
    <w:basedOn w:val="TableNormal"/>
    <w:uiPriority w:val="59"/>
    <w:rsid w:val="00DD14C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4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4CD"/>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DD14CD"/>
    <w:rPr>
      <w:rFonts w:ascii="Times" w:eastAsia="Times New Roman" w:hAnsi="Times" w:cs="Times"/>
      <w:sz w:val="24"/>
      <w:szCs w:val="24"/>
    </w:rPr>
  </w:style>
  <w:style w:type="table" w:styleId="TableGrid">
    <w:name w:val="Table Grid"/>
    <w:basedOn w:val="TableNormal"/>
    <w:uiPriority w:val="59"/>
    <w:rsid w:val="00DD14C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AE6F-F7AF-47FD-B4A7-2F951AE6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Hoopes</dc:creator>
  <cp:lastModifiedBy>Megan Hoopes</cp:lastModifiedBy>
  <cp:revision>6</cp:revision>
  <dcterms:created xsi:type="dcterms:W3CDTF">2011-02-01T18:21:00Z</dcterms:created>
  <dcterms:modified xsi:type="dcterms:W3CDTF">2011-08-04T17:50:00Z</dcterms:modified>
</cp:coreProperties>
</file>