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3D" w:rsidRPr="00953A3D" w:rsidRDefault="00953A3D" w:rsidP="00953A3D">
      <w:pPr>
        <w:autoSpaceDE w:val="0"/>
        <w:autoSpaceDN w:val="0"/>
        <w:adjustRightInd w:val="0"/>
        <w:jc w:val="center"/>
        <w:rPr>
          <w:rFonts w:ascii="Palatino Linotype" w:hAnsi="Palatino Linotype" w:cs="BradleyHandITC"/>
          <w:b/>
        </w:rPr>
      </w:pPr>
      <w:r w:rsidRPr="00953A3D">
        <w:rPr>
          <w:rFonts w:ascii="Palatino Linotype" w:hAnsi="Palatino Linotype" w:cs="BradleyHandITC"/>
          <w:b/>
        </w:rPr>
        <w:t>Building a Sustainable Coalition</w:t>
      </w:r>
    </w:p>
    <w:p w:rsidR="00953A3D" w:rsidRDefault="00953A3D" w:rsidP="000505DE">
      <w:pPr>
        <w:autoSpaceDE w:val="0"/>
        <w:autoSpaceDN w:val="0"/>
        <w:adjustRightInd w:val="0"/>
        <w:rPr>
          <w:rFonts w:ascii="Palatino Linotype" w:hAnsi="Palatino Linotype" w:cs="BradleyHandITC"/>
          <w:u w:val="single"/>
        </w:rPr>
      </w:pPr>
    </w:p>
    <w:p w:rsidR="000505DE" w:rsidRPr="000505DE" w:rsidRDefault="000505DE" w:rsidP="000505DE">
      <w:pPr>
        <w:autoSpaceDE w:val="0"/>
        <w:autoSpaceDN w:val="0"/>
        <w:adjustRightInd w:val="0"/>
        <w:rPr>
          <w:rFonts w:ascii="Palatino Linotype" w:hAnsi="Palatino Linotype" w:cs="BradleyHandITC"/>
          <w:u w:val="single"/>
        </w:rPr>
      </w:pPr>
      <w:r w:rsidRPr="000505DE">
        <w:rPr>
          <w:rFonts w:ascii="Palatino Linotype" w:hAnsi="Palatino Linotype" w:cs="BradleyHandITC"/>
          <w:u w:val="single"/>
        </w:rPr>
        <w:t>Some First Steps</w:t>
      </w:r>
    </w:p>
    <w:p w:rsidR="000505DE" w:rsidRPr="000505DE" w:rsidRDefault="000505DE" w:rsidP="000505DE">
      <w:pPr>
        <w:autoSpaceDE w:val="0"/>
        <w:autoSpaceDN w:val="0"/>
        <w:adjustRightInd w:val="0"/>
        <w:rPr>
          <w:rFonts w:ascii="Palatino Linotype" w:hAnsi="Palatino Linotype" w:cs="BradleyHandITC"/>
          <w:u w:val="single"/>
        </w:rPr>
      </w:pPr>
    </w:p>
    <w:p w:rsidR="00E867DE" w:rsidRPr="00E867DE" w:rsidRDefault="00E867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Arial"/>
        </w:rPr>
      </w:pPr>
      <w:r>
        <w:rPr>
          <w:rFonts w:ascii="Arial" w:hAnsi="Arial" w:cs="Arial"/>
        </w:rPr>
        <w:sym w:font="Wingdings" w:char="F076"/>
      </w:r>
      <w:r>
        <w:rPr>
          <w:rFonts w:ascii="Arial" w:hAnsi="Arial" w:cs="Arial"/>
        </w:rPr>
        <w:tab/>
      </w:r>
      <w:r w:rsidRPr="00E867DE">
        <w:rPr>
          <w:rFonts w:ascii="Palatino Linotype" w:hAnsi="Palatino Linotype" w:cs="Arial"/>
        </w:rPr>
        <w:t>Identify</w:t>
      </w:r>
      <w:r>
        <w:rPr>
          <w:rFonts w:ascii="Palatino Linotype" w:hAnsi="Palatino Linotype" w:cs="Arial"/>
        </w:rPr>
        <w:t xml:space="preserve"> team participation and engage membership</w:t>
      </w:r>
    </w:p>
    <w:p w:rsidR="00E867DE" w:rsidRDefault="00E867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Arial" w:hAnsi="Arial" w:cs="Arial"/>
        </w:rPr>
        <w:sym w:font="Wingdings" w:char="F076"/>
      </w:r>
      <w:r w:rsidRPr="000505DE">
        <w:rPr>
          <w:rFonts w:ascii="Palatino Linotype" w:hAnsi="Palatino Linotype" w:cs="Wingdings-Regular"/>
        </w:rPr>
        <w:t xml:space="preserve"> </w:t>
      </w:r>
      <w:r w:rsidRPr="000505DE">
        <w:rPr>
          <w:rFonts w:ascii="Palatino Linotype" w:hAnsi="Palatino Linotype" w:cs="BradleyHandITC"/>
        </w:rPr>
        <w:t>Conduct community inventory</w:t>
      </w:r>
      <w:r w:rsidR="00E867DE">
        <w:rPr>
          <w:rFonts w:ascii="Palatino Linotype" w:hAnsi="Palatino Linotype" w:cs="BradleyHandITC"/>
        </w:rPr>
        <w:t xml:space="preserve"> of attitudes, assets, resources and challenges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="00953A3D">
        <w:rPr>
          <w:rFonts w:ascii="Palatino Linotype" w:hAnsi="Palatino Linotype" w:cs="BradleyHandITC"/>
        </w:rPr>
        <w:t>Articulate</w:t>
      </w:r>
      <w:r w:rsidRPr="000505DE">
        <w:rPr>
          <w:rFonts w:ascii="Palatino Linotype" w:hAnsi="Palatino Linotype" w:cs="BradleyHandITC"/>
        </w:rPr>
        <w:t xml:space="preserve"> community development design and vision</w:t>
      </w:r>
      <w:r w:rsidR="00953A3D">
        <w:rPr>
          <w:rFonts w:ascii="Palatino Linotype" w:hAnsi="Palatino Linotype" w:cs="BradleyHandITC"/>
        </w:rPr>
        <w:t xml:space="preserve"> with regard to FASD</w:t>
      </w:r>
      <w:r w:rsidRPr="000505DE">
        <w:rPr>
          <w:rFonts w:ascii="Palatino Linotype" w:hAnsi="Palatino Linotype" w:cs="BradleyHandITC"/>
        </w:rPr>
        <w:t>.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BradleyHandITC"/>
        </w:rPr>
        <w:tab/>
        <w:t>(What would you like it to look like in 10, 25, and 50 years?)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Pr="000505DE">
        <w:rPr>
          <w:rFonts w:ascii="Palatino Linotype" w:hAnsi="Palatino Linotype" w:cs="BradleyHandITC"/>
        </w:rPr>
        <w:t>Connect existing service systems and natural community helpers to create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BradleyHandITC"/>
        </w:rPr>
        <w:tab/>
      </w:r>
      <w:proofErr w:type="gramStart"/>
      <w:r w:rsidRPr="000505DE">
        <w:rPr>
          <w:rFonts w:ascii="Palatino Linotype" w:hAnsi="Palatino Linotype" w:cs="BradleyHandITC"/>
        </w:rPr>
        <w:t>collaborative</w:t>
      </w:r>
      <w:proofErr w:type="gramEnd"/>
      <w:r w:rsidRPr="000505DE">
        <w:rPr>
          <w:rFonts w:ascii="Palatino Linotype" w:hAnsi="Palatino Linotype" w:cs="BradleyHandITC"/>
        </w:rPr>
        <w:t xml:space="preserve"> circles of family care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BradleyHandITC"/>
        </w:rPr>
        <w:sym w:font="Wingdings" w:char="F076"/>
      </w:r>
      <w:r w:rsidRPr="000505DE">
        <w:rPr>
          <w:rFonts w:ascii="Palatino Linotype" w:hAnsi="Palatino Linotype" w:cs="BradleyHandITC"/>
        </w:rPr>
        <w:tab/>
        <w:t>Identify and leverage educational mandates that will provide immediate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BradleyHandITC"/>
        </w:rPr>
        <w:tab/>
      </w:r>
      <w:proofErr w:type="gramStart"/>
      <w:r w:rsidRPr="000505DE">
        <w:rPr>
          <w:rFonts w:ascii="Palatino Linotype" w:hAnsi="Palatino Linotype" w:cs="BradleyHandITC"/>
        </w:rPr>
        <w:t>assistance</w:t>
      </w:r>
      <w:proofErr w:type="gramEnd"/>
      <w:r w:rsidRPr="000505DE">
        <w:rPr>
          <w:rFonts w:ascii="Palatino Linotype" w:hAnsi="Palatino Linotype" w:cs="BradleyHandITC"/>
        </w:rPr>
        <w:t xml:space="preserve"> and funding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Pr="000505DE">
        <w:rPr>
          <w:rFonts w:ascii="Palatino Linotype" w:hAnsi="Palatino Linotype" w:cs="BradleyHandITC"/>
        </w:rPr>
        <w:t>Identify potential sources for private (foundations) and public (government)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BradleyHandITC"/>
        </w:rPr>
        <w:tab/>
      </w:r>
      <w:proofErr w:type="gramStart"/>
      <w:r w:rsidRPr="000505DE">
        <w:rPr>
          <w:rFonts w:ascii="Palatino Linotype" w:hAnsi="Palatino Linotype" w:cs="BradleyHandITC"/>
        </w:rPr>
        <w:t>funding</w:t>
      </w:r>
      <w:proofErr w:type="gramEnd"/>
      <w:r w:rsidRPr="000505DE">
        <w:rPr>
          <w:rFonts w:ascii="Palatino Linotype" w:hAnsi="Palatino Linotype" w:cs="BradleyHandITC"/>
        </w:rPr>
        <w:t xml:space="preserve"> that match your vision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Pr="000505DE">
        <w:rPr>
          <w:rFonts w:ascii="Palatino Linotype" w:hAnsi="Palatino Linotype" w:cs="BradleyHandITC"/>
        </w:rPr>
        <w:t xml:space="preserve">Begin increasing </w:t>
      </w:r>
      <w:r w:rsidR="00014517">
        <w:rPr>
          <w:rFonts w:ascii="Palatino Linotype" w:hAnsi="Palatino Linotype" w:cs="BradleyHandITC"/>
        </w:rPr>
        <w:t xml:space="preserve">the </w:t>
      </w:r>
      <w:r w:rsidRPr="000505DE">
        <w:rPr>
          <w:rFonts w:ascii="Palatino Linotype" w:hAnsi="Palatino Linotype" w:cs="BradleyHandITC"/>
        </w:rPr>
        <w:t xml:space="preserve">capacity (quality and quantity) of service systems </w:t>
      </w:r>
      <w:r w:rsidR="00014517">
        <w:rPr>
          <w:rFonts w:ascii="Palatino Linotype" w:hAnsi="Palatino Linotype" w:cs="BradleyHandITC"/>
        </w:rPr>
        <w:t>through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BradleyHandITC"/>
        </w:rPr>
        <w:tab/>
      </w:r>
      <w:proofErr w:type="gramStart"/>
      <w:r w:rsidRPr="000505DE">
        <w:rPr>
          <w:rFonts w:ascii="Palatino Linotype" w:hAnsi="Palatino Linotype" w:cs="BradleyHandITC"/>
        </w:rPr>
        <w:t>efficient</w:t>
      </w:r>
      <w:proofErr w:type="gramEnd"/>
      <w:r w:rsidRPr="000505DE">
        <w:rPr>
          <w:rFonts w:ascii="Palatino Linotype" w:hAnsi="Palatino Linotype" w:cs="BradleyHandITC"/>
        </w:rPr>
        <w:t xml:space="preserve"> and respected use of volunteers and mentors (natural helpers) and</w:t>
      </w:r>
    </w:p>
    <w:p w:rsidR="000505DE" w:rsidRPr="000505DE" w:rsidRDefault="000505DE" w:rsidP="00014517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BradleyHandITC"/>
        </w:rPr>
        <w:tab/>
      </w:r>
      <w:proofErr w:type="gramStart"/>
      <w:r w:rsidRPr="000505DE">
        <w:rPr>
          <w:rFonts w:ascii="Palatino Linotype" w:hAnsi="Palatino Linotype" w:cs="BradleyHandITC"/>
        </w:rPr>
        <w:t>by</w:t>
      </w:r>
      <w:proofErr w:type="gramEnd"/>
      <w:r w:rsidRPr="000505DE">
        <w:rPr>
          <w:rFonts w:ascii="Palatino Linotype" w:hAnsi="Palatino Linotype" w:cs="BradleyHandITC"/>
        </w:rPr>
        <w:t xml:space="preserve"> implementing appropriate intervention strategies. </w:t>
      </w:r>
      <w:r w:rsidR="00953A3D">
        <w:rPr>
          <w:rFonts w:ascii="Palatino Linotype" w:hAnsi="Palatino Linotype" w:cs="BradleyHandITC"/>
        </w:rPr>
        <w:t xml:space="preserve"> </w:t>
      </w:r>
      <w:r w:rsidR="00014517">
        <w:rPr>
          <w:rFonts w:ascii="Palatino Linotype" w:hAnsi="Palatino Linotype" w:cs="BradleyHandITC"/>
        </w:rPr>
        <w:t>A</w:t>
      </w:r>
      <w:r w:rsidRPr="000505DE">
        <w:rPr>
          <w:rFonts w:ascii="Palatino Linotype" w:hAnsi="Palatino Linotype" w:cs="BradleyHandITC"/>
        </w:rPr>
        <w:t>dapt the specific strategies</w:t>
      </w:r>
      <w:r w:rsidR="00FD7EF7">
        <w:rPr>
          <w:rFonts w:ascii="Palatino Linotype" w:hAnsi="Palatino Linotype" w:cs="BradleyHandITC"/>
        </w:rPr>
        <w:t xml:space="preserve"> which include</w:t>
      </w:r>
      <w:r w:rsidR="00014517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community traditions and practices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14517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Pr="000505DE">
        <w:rPr>
          <w:rFonts w:ascii="Palatino Linotype" w:hAnsi="Palatino Linotype" w:cs="BradleyHandITC"/>
        </w:rPr>
        <w:t xml:space="preserve">Capitalize on your </w:t>
      </w:r>
      <w:r w:rsidR="00113E1D">
        <w:rPr>
          <w:rFonts w:ascii="Palatino Linotype" w:hAnsi="Palatino Linotype" w:cs="BradleyHandITC"/>
        </w:rPr>
        <w:t xml:space="preserve">Early Childhood </w:t>
      </w:r>
      <w:r w:rsidRPr="000505DE">
        <w:rPr>
          <w:rFonts w:ascii="Palatino Linotype" w:hAnsi="Palatino Linotype" w:cs="BradleyHandITC"/>
        </w:rPr>
        <w:t xml:space="preserve">school and </w:t>
      </w:r>
      <w:r w:rsidR="00113E1D">
        <w:rPr>
          <w:rFonts w:ascii="Palatino Linotype" w:hAnsi="Palatino Linotype" w:cs="BradleyHandITC"/>
        </w:rPr>
        <w:t>educational settings as non-</w:t>
      </w:r>
      <w:r w:rsidRPr="000505DE">
        <w:rPr>
          <w:rFonts w:ascii="Palatino Linotype" w:hAnsi="Palatino Linotype" w:cs="BradleyHandITC"/>
        </w:rPr>
        <w:t>stigmatic sources of shared</w:t>
      </w:r>
      <w:r w:rsidR="00113E1D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community strength and services, wrapping them in the family resource</w:t>
      </w:r>
      <w:r w:rsidR="00113E1D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collaborative circle of care model that iden</w:t>
      </w:r>
      <w:r w:rsidR="00113E1D">
        <w:rPr>
          <w:rFonts w:ascii="Palatino Linotype" w:hAnsi="Palatino Linotype" w:cs="BradleyHandITC"/>
        </w:rPr>
        <w:t>tifies and</w:t>
      </w:r>
      <w:r w:rsidR="00014517">
        <w:rPr>
          <w:rFonts w:ascii="Palatino Linotype" w:hAnsi="Palatino Linotype" w:cs="BradleyHandITC"/>
        </w:rPr>
        <w:t xml:space="preserve"> </w:t>
      </w:r>
      <w:r w:rsidR="00113E1D">
        <w:rPr>
          <w:rFonts w:ascii="Palatino Linotype" w:hAnsi="Palatino Linotype" w:cs="BradleyHandITC"/>
        </w:rPr>
        <w:t xml:space="preserve">provides family and </w:t>
      </w:r>
      <w:r w:rsidRPr="000505DE">
        <w:rPr>
          <w:rFonts w:ascii="Palatino Linotype" w:hAnsi="Palatino Linotype" w:cs="BradleyHandITC"/>
        </w:rPr>
        <w:t>child support from infant through school age opportunities. There is much</w:t>
      </w:r>
      <w:r w:rsidR="00113E1D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evidence that suggests adults make the most rapid and sustainable</w:t>
      </w:r>
      <w:r w:rsidR="00113E1D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behavioral change when it is proactively f</w:t>
      </w:r>
      <w:r w:rsidR="00113E1D">
        <w:rPr>
          <w:rFonts w:ascii="Palatino Linotype" w:hAnsi="Palatino Linotype" w:cs="BradleyHandITC"/>
        </w:rPr>
        <w:t xml:space="preserve">ocused on bonding, development </w:t>
      </w:r>
      <w:r w:rsidRPr="000505DE">
        <w:rPr>
          <w:rFonts w:ascii="Palatino Linotype" w:hAnsi="Palatino Linotype" w:cs="BradleyHandITC"/>
        </w:rPr>
        <w:t>and advocacy with young children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14517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Pr="000505DE">
        <w:rPr>
          <w:rFonts w:ascii="Palatino Linotype" w:hAnsi="Palatino Linotype" w:cs="BradleyHandITC"/>
        </w:rPr>
        <w:t>Train, facilitate and provide ongoing technical assistance throughout al</w:t>
      </w:r>
      <w:r w:rsidR="00014517">
        <w:rPr>
          <w:rFonts w:ascii="Palatino Linotype" w:hAnsi="Palatino Linotype" w:cs="BradleyHandITC"/>
        </w:rPr>
        <w:t xml:space="preserve">l services so </w:t>
      </w:r>
      <w:r w:rsidRPr="000505DE">
        <w:rPr>
          <w:rFonts w:ascii="Palatino Linotype" w:hAnsi="Palatino Linotype" w:cs="BradleyHandITC"/>
        </w:rPr>
        <w:t>that all community systems and structures are knowledgeable</w:t>
      </w:r>
      <w:r w:rsidR="00014517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about the cognitive and behavioral manifestations of an F.A.S.D.</w:t>
      </w:r>
      <w:r w:rsidR="00417C0D">
        <w:rPr>
          <w:rFonts w:ascii="Palatino Linotype" w:hAnsi="Palatino Linotype" w:cs="BradleyHandITC"/>
        </w:rPr>
        <w:t xml:space="preserve"> </w:t>
      </w:r>
      <w:r w:rsidR="00CF1C8F">
        <w:rPr>
          <w:rFonts w:ascii="Palatino Linotype" w:hAnsi="Palatino Linotype" w:cs="BradleyHandITC"/>
        </w:rPr>
        <w:t xml:space="preserve"> </w:t>
      </w:r>
      <w:r w:rsidR="00014517">
        <w:rPr>
          <w:rFonts w:ascii="Palatino Linotype" w:hAnsi="Palatino Linotype" w:cs="BradleyHandITC"/>
        </w:rPr>
        <w:t>E</w:t>
      </w:r>
      <w:r w:rsidRPr="000505DE">
        <w:rPr>
          <w:rFonts w:ascii="Palatino Linotype" w:hAnsi="Palatino Linotype" w:cs="BradleyHandITC"/>
        </w:rPr>
        <w:t>nsure consistent support in designing individual and family</w:t>
      </w:r>
      <w:r w:rsidR="00CF1C8F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intervention</w:t>
      </w:r>
      <w:r w:rsidR="00014517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plans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Pr="000505DE">
        <w:rPr>
          <w:rFonts w:ascii="Palatino Linotype" w:hAnsi="Palatino Linotype" w:cs="BradleyHandITC"/>
        </w:rPr>
        <w:t>Identify natural community helpers, mentors and volunteers</w:t>
      </w:r>
    </w:p>
    <w:p w:rsidR="000505DE" w:rsidRPr="000505DE" w:rsidRDefault="000505DE" w:rsidP="000505D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Palatino Linotype" w:hAnsi="Palatino Linotype" w:cs="BradleyHandITC"/>
          <w:sz w:val="20"/>
          <w:szCs w:val="20"/>
        </w:rPr>
      </w:pPr>
    </w:p>
    <w:p w:rsidR="00D70EDD" w:rsidRPr="000505DE" w:rsidRDefault="000505DE" w:rsidP="00014517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rPr>
          <w:rFonts w:ascii="Palatino Linotype" w:hAnsi="Palatino Linotype"/>
        </w:rPr>
      </w:pPr>
      <w:r w:rsidRPr="000505DE">
        <w:rPr>
          <w:rFonts w:ascii="Palatino Linotype" w:hAnsi="Palatino Linotype" w:cs="Wingdings-Regular"/>
        </w:rPr>
        <w:sym w:font="Wingdings" w:char="F076"/>
      </w:r>
      <w:r w:rsidRPr="000505DE">
        <w:rPr>
          <w:rFonts w:ascii="Palatino Linotype" w:hAnsi="Palatino Linotype" w:cs="Wingdings-Regular"/>
        </w:rPr>
        <w:tab/>
      </w:r>
      <w:r w:rsidRPr="000505DE">
        <w:rPr>
          <w:rFonts w:ascii="Palatino Linotype" w:hAnsi="Palatino Linotype" w:cs="BradleyHandITC"/>
        </w:rPr>
        <w:t>Design procedural flow of your community’s collaborative circle of care model, insuring all plans and approaches proceed from a comprehensive family focused perspective. (See enclosed forms for example of how within our systems we identify supportive participants in a family’s life while</w:t>
      </w:r>
      <w:r w:rsidR="00014517">
        <w:rPr>
          <w:rFonts w:ascii="Palatino Linotype" w:hAnsi="Palatino Linotype" w:cs="BradleyHandITC"/>
        </w:rPr>
        <w:t xml:space="preserve"> </w:t>
      </w:r>
      <w:r w:rsidRPr="000505DE">
        <w:rPr>
          <w:rFonts w:ascii="Palatino Linotype" w:hAnsi="Palatino Linotype" w:cs="BradleyHandITC"/>
        </w:rPr>
        <w:t>complying with laws of confidentiality</w:t>
      </w:r>
    </w:p>
    <w:sectPr w:rsidR="00D70EDD" w:rsidRPr="000505DE" w:rsidSect="000145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505DE"/>
    <w:rsid w:val="0000052E"/>
    <w:rsid w:val="00003899"/>
    <w:rsid w:val="00014517"/>
    <w:rsid w:val="0002256A"/>
    <w:rsid w:val="00031229"/>
    <w:rsid w:val="00040119"/>
    <w:rsid w:val="0004278B"/>
    <w:rsid w:val="000505DE"/>
    <w:rsid w:val="00054434"/>
    <w:rsid w:val="00065938"/>
    <w:rsid w:val="00083215"/>
    <w:rsid w:val="00086F2D"/>
    <w:rsid w:val="000C0D79"/>
    <w:rsid w:val="000E1594"/>
    <w:rsid w:val="000E781D"/>
    <w:rsid w:val="000F1311"/>
    <w:rsid w:val="000F3D18"/>
    <w:rsid w:val="00105876"/>
    <w:rsid w:val="0011124A"/>
    <w:rsid w:val="00113BB9"/>
    <w:rsid w:val="00113E1D"/>
    <w:rsid w:val="00117B7B"/>
    <w:rsid w:val="001239BA"/>
    <w:rsid w:val="001239FC"/>
    <w:rsid w:val="001270C1"/>
    <w:rsid w:val="00131A11"/>
    <w:rsid w:val="00140C39"/>
    <w:rsid w:val="00144C59"/>
    <w:rsid w:val="00145839"/>
    <w:rsid w:val="0015019D"/>
    <w:rsid w:val="001578C6"/>
    <w:rsid w:val="00172754"/>
    <w:rsid w:val="001730CA"/>
    <w:rsid w:val="00180A6D"/>
    <w:rsid w:val="0018593E"/>
    <w:rsid w:val="00191F24"/>
    <w:rsid w:val="001A1748"/>
    <w:rsid w:val="001A1E6F"/>
    <w:rsid w:val="001B7598"/>
    <w:rsid w:val="001C4B7A"/>
    <w:rsid w:val="001E0C29"/>
    <w:rsid w:val="001E480A"/>
    <w:rsid w:val="001F5C58"/>
    <w:rsid w:val="001F74E0"/>
    <w:rsid w:val="002069F9"/>
    <w:rsid w:val="002223EF"/>
    <w:rsid w:val="00253197"/>
    <w:rsid w:val="00264815"/>
    <w:rsid w:val="00265C66"/>
    <w:rsid w:val="002768C6"/>
    <w:rsid w:val="0028318A"/>
    <w:rsid w:val="002A58B8"/>
    <w:rsid w:val="002A6448"/>
    <w:rsid w:val="002B511D"/>
    <w:rsid w:val="002C15A9"/>
    <w:rsid w:val="002D08E3"/>
    <w:rsid w:val="002D7A0A"/>
    <w:rsid w:val="002F3AB6"/>
    <w:rsid w:val="00306F7F"/>
    <w:rsid w:val="00341404"/>
    <w:rsid w:val="003552A0"/>
    <w:rsid w:val="00363AAA"/>
    <w:rsid w:val="00371D8D"/>
    <w:rsid w:val="003802C6"/>
    <w:rsid w:val="00386689"/>
    <w:rsid w:val="003B1A26"/>
    <w:rsid w:val="003B21BC"/>
    <w:rsid w:val="003B49DB"/>
    <w:rsid w:val="003C29E5"/>
    <w:rsid w:val="003D4DD1"/>
    <w:rsid w:val="003E0627"/>
    <w:rsid w:val="003E0A23"/>
    <w:rsid w:val="003E296B"/>
    <w:rsid w:val="003E324A"/>
    <w:rsid w:val="00416DCC"/>
    <w:rsid w:val="00417C0D"/>
    <w:rsid w:val="00420419"/>
    <w:rsid w:val="00430EF5"/>
    <w:rsid w:val="00435421"/>
    <w:rsid w:val="00443E64"/>
    <w:rsid w:val="00457346"/>
    <w:rsid w:val="0046277A"/>
    <w:rsid w:val="00462AE6"/>
    <w:rsid w:val="004678D2"/>
    <w:rsid w:val="0047366F"/>
    <w:rsid w:val="0048092E"/>
    <w:rsid w:val="00487A0F"/>
    <w:rsid w:val="0049513E"/>
    <w:rsid w:val="004A3039"/>
    <w:rsid w:val="004A6492"/>
    <w:rsid w:val="004A7C88"/>
    <w:rsid w:val="004B7931"/>
    <w:rsid w:val="004D697D"/>
    <w:rsid w:val="004F3020"/>
    <w:rsid w:val="004F7AC8"/>
    <w:rsid w:val="0051185F"/>
    <w:rsid w:val="00512646"/>
    <w:rsid w:val="00521601"/>
    <w:rsid w:val="00523AFA"/>
    <w:rsid w:val="00525E66"/>
    <w:rsid w:val="00533750"/>
    <w:rsid w:val="00540887"/>
    <w:rsid w:val="00542CE5"/>
    <w:rsid w:val="005544FC"/>
    <w:rsid w:val="00571422"/>
    <w:rsid w:val="00577A3C"/>
    <w:rsid w:val="005866AD"/>
    <w:rsid w:val="00596784"/>
    <w:rsid w:val="005A1AAF"/>
    <w:rsid w:val="005D300E"/>
    <w:rsid w:val="005F2EC2"/>
    <w:rsid w:val="00612EF4"/>
    <w:rsid w:val="006220D6"/>
    <w:rsid w:val="006238CB"/>
    <w:rsid w:val="0063300D"/>
    <w:rsid w:val="00635AE9"/>
    <w:rsid w:val="006554A0"/>
    <w:rsid w:val="00657F16"/>
    <w:rsid w:val="00662E19"/>
    <w:rsid w:val="00670646"/>
    <w:rsid w:val="006868C3"/>
    <w:rsid w:val="00687675"/>
    <w:rsid w:val="00687DDE"/>
    <w:rsid w:val="0069285A"/>
    <w:rsid w:val="006C74FF"/>
    <w:rsid w:val="006D3766"/>
    <w:rsid w:val="006D514E"/>
    <w:rsid w:val="006E0BF8"/>
    <w:rsid w:val="006E758D"/>
    <w:rsid w:val="0071321A"/>
    <w:rsid w:val="007165C2"/>
    <w:rsid w:val="00722AEA"/>
    <w:rsid w:val="00735ADA"/>
    <w:rsid w:val="0074254A"/>
    <w:rsid w:val="007520C2"/>
    <w:rsid w:val="00760DE2"/>
    <w:rsid w:val="00773B9C"/>
    <w:rsid w:val="007752BA"/>
    <w:rsid w:val="00781767"/>
    <w:rsid w:val="00782A46"/>
    <w:rsid w:val="00790F24"/>
    <w:rsid w:val="007971D9"/>
    <w:rsid w:val="007B5CB9"/>
    <w:rsid w:val="007C734A"/>
    <w:rsid w:val="007D73C1"/>
    <w:rsid w:val="007E720A"/>
    <w:rsid w:val="007F336E"/>
    <w:rsid w:val="007F4944"/>
    <w:rsid w:val="008006A3"/>
    <w:rsid w:val="008061AB"/>
    <w:rsid w:val="0081201C"/>
    <w:rsid w:val="00820B17"/>
    <w:rsid w:val="008270C2"/>
    <w:rsid w:val="00836AED"/>
    <w:rsid w:val="00855722"/>
    <w:rsid w:val="00860BBE"/>
    <w:rsid w:val="0086557B"/>
    <w:rsid w:val="00871285"/>
    <w:rsid w:val="008731B7"/>
    <w:rsid w:val="008777C6"/>
    <w:rsid w:val="008808F8"/>
    <w:rsid w:val="00883E48"/>
    <w:rsid w:val="00894E19"/>
    <w:rsid w:val="008978C2"/>
    <w:rsid w:val="008A1B5F"/>
    <w:rsid w:val="008D1441"/>
    <w:rsid w:val="008E18EF"/>
    <w:rsid w:val="008F363F"/>
    <w:rsid w:val="009240F4"/>
    <w:rsid w:val="009532FD"/>
    <w:rsid w:val="00953A3D"/>
    <w:rsid w:val="00955ADF"/>
    <w:rsid w:val="00966B47"/>
    <w:rsid w:val="00976E38"/>
    <w:rsid w:val="00976ED9"/>
    <w:rsid w:val="00986F1B"/>
    <w:rsid w:val="009917D9"/>
    <w:rsid w:val="009A48F7"/>
    <w:rsid w:val="009B418A"/>
    <w:rsid w:val="009C078A"/>
    <w:rsid w:val="009C2D9D"/>
    <w:rsid w:val="009C3260"/>
    <w:rsid w:val="009D38C7"/>
    <w:rsid w:val="009E7268"/>
    <w:rsid w:val="00A01E4A"/>
    <w:rsid w:val="00A03EDE"/>
    <w:rsid w:val="00A040E5"/>
    <w:rsid w:val="00A05849"/>
    <w:rsid w:val="00A068BE"/>
    <w:rsid w:val="00A1248E"/>
    <w:rsid w:val="00A23A1B"/>
    <w:rsid w:val="00A318D4"/>
    <w:rsid w:val="00A31FEF"/>
    <w:rsid w:val="00A356B6"/>
    <w:rsid w:val="00A3571F"/>
    <w:rsid w:val="00A50E8B"/>
    <w:rsid w:val="00A55DAC"/>
    <w:rsid w:val="00A605D3"/>
    <w:rsid w:val="00A60FDB"/>
    <w:rsid w:val="00A64686"/>
    <w:rsid w:val="00A64C7F"/>
    <w:rsid w:val="00A6758B"/>
    <w:rsid w:val="00A81982"/>
    <w:rsid w:val="00A91AEE"/>
    <w:rsid w:val="00A922E2"/>
    <w:rsid w:val="00AA77BD"/>
    <w:rsid w:val="00AE34A8"/>
    <w:rsid w:val="00AE4073"/>
    <w:rsid w:val="00B03A04"/>
    <w:rsid w:val="00B071AE"/>
    <w:rsid w:val="00B113C9"/>
    <w:rsid w:val="00B2370C"/>
    <w:rsid w:val="00B36521"/>
    <w:rsid w:val="00B448E9"/>
    <w:rsid w:val="00B45583"/>
    <w:rsid w:val="00B45B11"/>
    <w:rsid w:val="00B46C98"/>
    <w:rsid w:val="00B6300F"/>
    <w:rsid w:val="00B75478"/>
    <w:rsid w:val="00B811F7"/>
    <w:rsid w:val="00BA032E"/>
    <w:rsid w:val="00BB61F9"/>
    <w:rsid w:val="00BC226D"/>
    <w:rsid w:val="00BC36C3"/>
    <w:rsid w:val="00BD2684"/>
    <w:rsid w:val="00BD542A"/>
    <w:rsid w:val="00BE2C75"/>
    <w:rsid w:val="00BF303A"/>
    <w:rsid w:val="00BF4F53"/>
    <w:rsid w:val="00BF71B2"/>
    <w:rsid w:val="00BF7F69"/>
    <w:rsid w:val="00C1272E"/>
    <w:rsid w:val="00C2505A"/>
    <w:rsid w:val="00C448E0"/>
    <w:rsid w:val="00C545F9"/>
    <w:rsid w:val="00C65D35"/>
    <w:rsid w:val="00C80602"/>
    <w:rsid w:val="00C84091"/>
    <w:rsid w:val="00C95959"/>
    <w:rsid w:val="00CA14E4"/>
    <w:rsid w:val="00CA446E"/>
    <w:rsid w:val="00CB14CD"/>
    <w:rsid w:val="00CB73AC"/>
    <w:rsid w:val="00CC4C03"/>
    <w:rsid w:val="00CC53FD"/>
    <w:rsid w:val="00CC6349"/>
    <w:rsid w:val="00CD0CE0"/>
    <w:rsid w:val="00CE5864"/>
    <w:rsid w:val="00CF1C8F"/>
    <w:rsid w:val="00D33418"/>
    <w:rsid w:val="00D47DE8"/>
    <w:rsid w:val="00D51A66"/>
    <w:rsid w:val="00D70EDD"/>
    <w:rsid w:val="00D80D8B"/>
    <w:rsid w:val="00D83597"/>
    <w:rsid w:val="00D90E90"/>
    <w:rsid w:val="00DA2225"/>
    <w:rsid w:val="00DA4713"/>
    <w:rsid w:val="00DA6300"/>
    <w:rsid w:val="00DA7832"/>
    <w:rsid w:val="00DB683B"/>
    <w:rsid w:val="00DB7F37"/>
    <w:rsid w:val="00DC7421"/>
    <w:rsid w:val="00DE3357"/>
    <w:rsid w:val="00DE67A3"/>
    <w:rsid w:val="00DF2BB3"/>
    <w:rsid w:val="00DF2C34"/>
    <w:rsid w:val="00E027B5"/>
    <w:rsid w:val="00E1398C"/>
    <w:rsid w:val="00E13E12"/>
    <w:rsid w:val="00E23820"/>
    <w:rsid w:val="00E25F9D"/>
    <w:rsid w:val="00E3166C"/>
    <w:rsid w:val="00E34FC3"/>
    <w:rsid w:val="00E45D26"/>
    <w:rsid w:val="00E57095"/>
    <w:rsid w:val="00E63D42"/>
    <w:rsid w:val="00E73BA5"/>
    <w:rsid w:val="00E867DE"/>
    <w:rsid w:val="00E955E9"/>
    <w:rsid w:val="00E97FAC"/>
    <w:rsid w:val="00EB2186"/>
    <w:rsid w:val="00EB422C"/>
    <w:rsid w:val="00EB6209"/>
    <w:rsid w:val="00EC037B"/>
    <w:rsid w:val="00ED1550"/>
    <w:rsid w:val="00ED79B7"/>
    <w:rsid w:val="00F057A3"/>
    <w:rsid w:val="00F21C88"/>
    <w:rsid w:val="00F52F7F"/>
    <w:rsid w:val="00F555F5"/>
    <w:rsid w:val="00F65AB3"/>
    <w:rsid w:val="00F6757F"/>
    <w:rsid w:val="00F723D4"/>
    <w:rsid w:val="00F84611"/>
    <w:rsid w:val="00F97BC8"/>
    <w:rsid w:val="00FC52F3"/>
    <w:rsid w:val="00FC5626"/>
    <w:rsid w:val="00FD5364"/>
    <w:rsid w:val="00FD7EF7"/>
    <w:rsid w:val="00FE0601"/>
    <w:rsid w:val="00FE6BC0"/>
    <w:rsid w:val="00FF494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First Steps</vt:lpstr>
    </vt:vector>
  </TitlesOfParts>
  <Company>NA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First Steps</dc:title>
  <dc:subject/>
  <dc:creator>MAP</dc:creator>
  <cp:keywords/>
  <dc:description/>
  <cp:lastModifiedBy>jlefthandbull</cp:lastModifiedBy>
  <cp:revision>2</cp:revision>
  <dcterms:created xsi:type="dcterms:W3CDTF">2012-04-23T16:13:00Z</dcterms:created>
  <dcterms:modified xsi:type="dcterms:W3CDTF">2012-04-23T16:13:00Z</dcterms:modified>
</cp:coreProperties>
</file>